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BE18E" w14:textId="0B3E53FA" w:rsidR="006B160C" w:rsidRDefault="006B160C" w:rsidP="00F83144">
      <w:pPr>
        <w:tabs>
          <w:tab w:val="left" w:pos="10632"/>
        </w:tabs>
        <w:rPr>
          <w:sz w:val="24"/>
          <w:szCs w:val="24"/>
          <w:lang w:val="es-AR"/>
        </w:rPr>
      </w:pPr>
    </w:p>
    <w:p w14:paraId="57EF89B3" w14:textId="6062CFC9" w:rsidR="004868B2" w:rsidRDefault="004868B2" w:rsidP="004868B2">
      <w:pPr>
        <w:widowControl w:val="0"/>
        <w:spacing w:line="216" w:lineRule="auto"/>
        <w:ind w:left="850" w:right="284"/>
        <w:rPr>
          <w:b/>
          <w:color w:val="2B3183"/>
          <w:sz w:val="92"/>
          <w:szCs w:val="92"/>
          <w:lang w:val="es-AR"/>
        </w:rPr>
      </w:pPr>
      <w:r w:rsidRPr="004868B2">
        <w:rPr>
          <w:b/>
          <w:color w:val="2B3183"/>
          <w:sz w:val="92"/>
          <w:szCs w:val="92"/>
          <w:lang w:val="es-AR"/>
        </w:rPr>
        <w:t>EJECUCIÓN PRESUPUESTARIA DE FOMENTO INCAA 2021</w:t>
      </w:r>
    </w:p>
    <w:p w14:paraId="49CA31C8" w14:textId="77777777" w:rsidR="004868B2" w:rsidRPr="004868B2" w:rsidRDefault="004868B2" w:rsidP="004868B2">
      <w:pPr>
        <w:widowControl w:val="0"/>
        <w:spacing w:line="216" w:lineRule="auto"/>
        <w:ind w:left="850" w:right="284"/>
        <w:rPr>
          <w:b/>
          <w:color w:val="2B3183"/>
          <w:sz w:val="92"/>
          <w:szCs w:val="92"/>
          <w:lang w:val="es-AR"/>
        </w:rPr>
      </w:pPr>
    </w:p>
    <w:p w14:paraId="1B82820E" w14:textId="18438E45" w:rsidR="004868B2" w:rsidRPr="004868B2" w:rsidRDefault="004868B2" w:rsidP="004868B2">
      <w:pPr>
        <w:widowControl w:val="0"/>
        <w:spacing w:line="216" w:lineRule="auto"/>
        <w:ind w:left="850" w:right="284"/>
        <w:rPr>
          <w:b/>
          <w:color w:val="2B3183"/>
          <w:sz w:val="50"/>
          <w:szCs w:val="50"/>
          <w:lang w:val="es-AR"/>
        </w:rPr>
      </w:pPr>
      <w:r w:rsidRPr="004868B2">
        <w:rPr>
          <w:b/>
          <w:color w:val="2B3183"/>
          <w:sz w:val="50"/>
          <w:szCs w:val="50"/>
          <w:lang w:val="es-AR"/>
        </w:rPr>
        <w:t>Descripción de las acciones frente a la pandemia de covid-19</w:t>
      </w:r>
    </w:p>
    <w:p w14:paraId="587E86DA" w14:textId="77777777" w:rsidR="004868B2" w:rsidRPr="008365F3" w:rsidRDefault="004868B2" w:rsidP="004868B2">
      <w:pPr>
        <w:ind w:left="850" w:right="284"/>
        <w:rPr>
          <w:b/>
          <w:color w:val="2B3183"/>
          <w:sz w:val="64"/>
          <w:szCs w:val="64"/>
          <w:lang w:val="es-AR"/>
        </w:rPr>
      </w:pPr>
      <w:r w:rsidRPr="008365F3">
        <w:rPr>
          <w:b/>
          <w:color w:val="2B3183"/>
          <w:sz w:val="64"/>
          <w:szCs w:val="64"/>
          <w:lang w:val="es-AR"/>
        </w:rPr>
        <w:t>—</w:t>
      </w:r>
    </w:p>
    <w:p w14:paraId="0981ED70" w14:textId="77777777" w:rsidR="004868B2" w:rsidRPr="005470CB" w:rsidRDefault="004868B2" w:rsidP="004868B2">
      <w:pPr>
        <w:spacing w:before="240" w:after="240"/>
        <w:rPr>
          <w:rFonts w:eastAsia="Calibri"/>
          <w:b/>
          <w:sz w:val="26"/>
          <w:szCs w:val="26"/>
        </w:rPr>
      </w:pPr>
    </w:p>
    <w:p w14:paraId="78C40762" w14:textId="77777777" w:rsidR="004868B2" w:rsidRPr="004868B2" w:rsidRDefault="004868B2" w:rsidP="004868B2">
      <w:pPr>
        <w:widowControl w:val="0"/>
        <w:spacing w:line="216" w:lineRule="auto"/>
        <w:ind w:left="850" w:right="284"/>
        <w:rPr>
          <w:b/>
          <w:color w:val="2B3183"/>
          <w:sz w:val="32"/>
          <w:szCs w:val="32"/>
          <w:lang w:val="es-AR"/>
        </w:rPr>
      </w:pPr>
      <w:r w:rsidRPr="004868B2">
        <w:rPr>
          <w:b/>
          <w:color w:val="2B3183"/>
          <w:sz w:val="32"/>
          <w:szCs w:val="32"/>
          <w:lang w:val="es-AR"/>
        </w:rPr>
        <w:t>Informe realizado por: Santiago Diehl, Mariano García, Leandro R. González y Julio Bertolotti.</w:t>
      </w:r>
    </w:p>
    <w:p w14:paraId="432A63FF" w14:textId="77777777" w:rsidR="004868B2" w:rsidRDefault="004868B2" w:rsidP="004868B2">
      <w:pPr>
        <w:widowControl w:val="0"/>
        <w:spacing w:line="216" w:lineRule="auto"/>
        <w:ind w:left="850" w:right="284"/>
        <w:rPr>
          <w:b/>
          <w:color w:val="2B3183"/>
          <w:sz w:val="32"/>
          <w:szCs w:val="32"/>
          <w:lang w:val="es-AR"/>
        </w:rPr>
      </w:pPr>
    </w:p>
    <w:p w14:paraId="135C3291" w14:textId="15CF0CCA" w:rsidR="004868B2" w:rsidRPr="004868B2" w:rsidRDefault="004868B2" w:rsidP="004868B2">
      <w:pPr>
        <w:widowControl w:val="0"/>
        <w:spacing w:line="216" w:lineRule="auto"/>
        <w:ind w:left="850" w:right="284"/>
        <w:rPr>
          <w:b/>
          <w:color w:val="2B3183"/>
          <w:sz w:val="32"/>
          <w:szCs w:val="32"/>
          <w:lang w:val="es-AR"/>
        </w:rPr>
      </w:pPr>
      <w:r w:rsidRPr="004868B2">
        <w:rPr>
          <w:b/>
          <w:color w:val="2B3183"/>
          <w:sz w:val="32"/>
          <w:szCs w:val="32"/>
          <w:lang w:val="es-AR"/>
        </w:rPr>
        <w:t>Marzo, 2022</w:t>
      </w:r>
    </w:p>
    <w:p w14:paraId="530C90CF" w14:textId="62EF9F5B" w:rsidR="004868B2" w:rsidRDefault="004868B2" w:rsidP="004868B2">
      <w:pPr>
        <w:spacing w:before="240" w:after="240"/>
        <w:rPr>
          <w:rFonts w:eastAsia="Calibri"/>
          <w:b/>
        </w:rPr>
      </w:pPr>
    </w:p>
    <w:p w14:paraId="35AC36CB" w14:textId="77777777" w:rsidR="00273333" w:rsidRDefault="00273333">
      <w:pPr>
        <w:rPr>
          <w:b/>
          <w:color w:val="2B3183"/>
          <w:sz w:val="48"/>
          <w:szCs w:val="48"/>
          <w:lang w:val="pt-BR"/>
        </w:rPr>
      </w:pPr>
      <w:r>
        <w:rPr>
          <w:b/>
          <w:color w:val="2B3183"/>
          <w:sz w:val="48"/>
          <w:szCs w:val="48"/>
          <w:lang w:val="pt-BR"/>
        </w:rPr>
        <w:br w:type="page"/>
      </w:r>
    </w:p>
    <w:p w14:paraId="1B3B7B07" w14:textId="2ABEEC47" w:rsidR="00273333" w:rsidRPr="006870CD" w:rsidRDefault="00273333" w:rsidP="00273333">
      <w:pPr>
        <w:ind w:left="709"/>
        <w:rPr>
          <w:b/>
          <w:color w:val="2B3183"/>
          <w:sz w:val="48"/>
          <w:szCs w:val="48"/>
          <w:lang w:val="pt-BR"/>
        </w:rPr>
      </w:pPr>
      <w:r>
        <w:rPr>
          <w:b/>
          <w:color w:val="2B3183"/>
          <w:sz w:val="48"/>
          <w:szCs w:val="48"/>
          <w:lang w:val="pt-BR"/>
        </w:rPr>
        <w:lastRenderedPageBreak/>
        <w:t xml:space="preserve"> </w:t>
      </w:r>
      <w:r w:rsidRPr="006870CD">
        <w:rPr>
          <w:b/>
          <w:color w:val="2B3183"/>
          <w:sz w:val="48"/>
          <w:szCs w:val="48"/>
          <w:lang w:val="pt-BR"/>
        </w:rPr>
        <w:t>Índice</w:t>
      </w:r>
    </w:p>
    <w:p w14:paraId="53EB89EB" w14:textId="77777777" w:rsidR="00273333" w:rsidRPr="002B4404" w:rsidRDefault="00273333" w:rsidP="00273333">
      <w:pPr>
        <w:widowControl w:val="0"/>
        <w:spacing w:line="240" w:lineRule="auto"/>
        <w:ind w:left="850" w:right="284"/>
        <w:jc w:val="both"/>
        <w:rPr>
          <w:b/>
          <w:color w:val="2B3183"/>
          <w:sz w:val="48"/>
          <w:szCs w:val="48"/>
          <w:lang w:val="es-AR"/>
        </w:rPr>
      </w:pPr>
      <w:r w:rsidRPr="002B4404">
        <w:rPr>
          <w:b/>
          <w:color w:val="2B3183"/>
          <w:sz w:val="48"/>
          <w:szCs w:val="48"/>
          <w:lang w:val="es-AR"/>
        </w:rPr>
        <w:t>—</w:t>
      </w:r>
    </w:p>
    <w:p w14:paraId="0E16D610" w14:textId="77777777" w:rsidR="00273333" w:rsidRPr="002B4404" w:rsidRDefault="00273333" w:rsidP="00273333">
      <w:pPr>
        <w:widowControl w:val="0"/>
        <w:tabs>
          <w:tab w:val="left" w:pos="10632"/>
        </w:tabs>
        <w:ind w:left="850" w:right="284"/>
        <w:jc w:val="both"/>
        <w:rPr>
          <w:sz w:val="32"/>
          <w:szCs w:val="32"/>
          <w:lang w:val="es-AR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es-ES"/>
        </w:rPr>
        <w:id w:val="-1259591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5C77E" w14:textId="4A39947F" w:rsidR="00273333" w:rsidRPr="00E05963" w:rsidRDefault="00273333" w:rsidP="003E2644">
          <w:pPr>
            <w:pStyle w:val="TtuloTDC"/>
            <w:rPr>
              <w:rStyle w:val="Hipervnculo"/>
              <w:b/>
              <w:caps/>
              <w:noProof/>
              <w:color w:val="1F497D" w:themeColor="text2"/>
            </w:rPr>
          </w:pPr>
          <w:r w:rsidRPr="00E05963">
            <w:rPr>
              <w:rFonts w:ascii="Arial" w:hAnsi="Arial" w:cs="Arial"/>
              <w:color w:val="auto"/>
              <w:lang w:val="es-ES"/>
            </w:rPr>
            <w:t xml:space="preserve">          </w:t>
          </w:r>
        </w:p>
        <w:p w14:paraId="2C36DFC7" w14:textId="292FBDAF" w:rsidR="00CD387E" w:rsidRPr="00CD387E" w:rsidRDefault="00273333">
          <w:pPr>
            <w:pStyle w:val="TDC1"/>
            <w:rPr>
              <w:rFonts w:eastAsiaTheme="minorEastAsia"/>
              <w:noProof/>
              <w:lang w:val="es-AR"/>
            </w:rPr>
          </w:pPr>
          <w:r w:rsidRPr="00E05963">
            <w:rPr>
              <w:rStyle w:val="Hipervnculo"/>
              <w:b/>
              <w:caps/>
              <w:noProof/>
              <w:color w:val="1F497D" w:themeColor="text2"/>
              <w:lang w:val="es-AR"/>
            </w:rPr>
            <w:fldChar w:fldCharType="begin"/>
          </w:r>
          <w:r w:rsidRPr="00E05963">
            <w:rPr>
              <w:rStyle w:val="Hipervnculo"/>
              <w:b/>
              <w:caps/>
              <w:noProof/>
              <w:color w:val="1F497D" w:themeColor="text2"/>
              <w:lang w:val="es-AR"/>
            </w:rPr>
            <w:instrText xml:space="preserve"> TOC \o "1-3" \h \z \u </w:instrText>
          </w:r>
          <w:r w:rsidRPr="00E05963">
            <w:rPr>
              <w:rStyle w:val="Hipervnculo"/>
              <w:b/>
              <w:caps/>
              <w:noProof/>
              <w:color w:val="1F497D" w:themeColor="text2"/>
              <w:lang w:val="es-AR"/>
            </w:rPr>
            <w:fldChar w:fldCharType="separate"/>
          </w:r>
          <w:hyperlink w:anchor="_Toc109038260" w:history="1">
            <w:r w:rsidR="00CD387E" w:rsidRPr="00CD387E">
              <w:rPr>
                <w:rStyle w:val="Hipervnculo"/>
                <w:b/>
                <w:noProof/>
                <w:lang w:val="es-AR"/>
              </w:rPr>
              <w:t>Introducción</w:t>
            </w:r>
            <w:r w:rsidR="00CD387E" w:rsidRPr="00CD387E">
              <w:rPr>
                <w:noProof/>
                <w:webHidden/>
              </w:rPr>
              <w:tab/>
            </w:r>
            <w:r w:rsidR="00CD387E" w:rsidRPr="00CD387E">
              <w:rPr>
                <w:noProof/>
                <w:webHidden/>
              </w:rPr>
              <w:fldChar w:fldCharType="begin"/>
            </w:r>
            <w:r w:rsidR="00CD387E" w:rsidRPr="00CD387E">
              <w:rPr>
                <w:noProof/>
                <w:webHidden/>
              </w:rPr>
              <w:instrText xml:space="preserve"> PAGEREF _Toc109038260 \h </w:instrText>
            </w:r>
            <w:r w:rsidR="00CD387E" w:rsidRPr="00CD387E">
              <w:rPr>
                <w:noProof/>
                <w:webHidden/>
              </w:rPr>
            </w:r>
            <w:r w:rsidR="00CD387E" w:rsidRPr="00CD387E">
              <w:rPr>
                <w:noProof/>
                <w:webHidden/>
              </w:rPr>
              <w:fldChar w:fldCharType="separate"/>
            </w:r>
            <w:r w:rsidR="00CD387E" w:rsidRPr="00CD387E">
              <w:rPr>
                <w:noProof/>
                <w:webHidden/>
              </w:rPr>
              <w:t>3</w:t>
            </w:r>
            <w:r w:rsidR="00CD387E" w:rsidRPr="00CD387E">
              <w:rPr>
                <w:noProof/>
                <w:webHidden/>
              </w:rPr>
              <w:fldChar w:fldCharType="end"/>
            </w:r>
          </w:hyperlink>
        </w:p>
        <w:p w14:paraId="5033AB16" w14:textId="4D8688EF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61" w:history="1">
            <w:r w:rsidRPr="00CD387E">
              <w:rPr>
                <w:rStyle w:val="Hipervnculo"/>
                <w:b/>
                <w:noProof/>
                <w:lang w:val="es-AR"/>
              </w:rPr>
              <w:t>Ejecución presupuestaria de fomento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_Toc109038261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4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69374401" w14:textId="3C8CB46B" w:rsidR="00CD387E" w:rsidRPr="00CD387E" w:rsidRDefault="00CD387E" w:rsidP="00CD387E">
          <w:pPr>
            <w:pStyle w:val="TDC2"/>
            <w:tabs>
              <w:tab w:val="right" w:leader="dot" w:pos="10490"/>
            </w:tabs>
            <w:ind w:left="851"/>
            <w:rPr>
              <w:rFonts w:ascii="Arial" w:hAnsi="Arial" w:cs="Arial"/>
              <w:noProof/>
              <w:sz w:val="20"/>
              <w:szCs w:val="20"/>
            </w:rPr>
          </w:pPr>
          <w:hyperlink w:anchor="_Toc109038262" w:history="1">
            <w:r w:rsidRPr="00CD387E">
              <w:rPr>
                <w:rStyle w:val="Hipervnculo"/>
                <w:rFonts w:ascii="Arial" w:hAnsi="Arial" w:cs="Arial"/>
                <w:b/>
                <w:noProof/>
                <w:sz w:val="20"/>
                <w:szCs w:val="20"/>
              </w:rPr>
              <w:t>Fomento cine directo</w: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_Toc109038262 \h </w:instrTex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38D27A" w14:textId="02D1B530" w:rsidR="00CD387E" w:rsidRPr="00CD387E" w:rsidRDefault="00CD387E" w:rsidP="00CD387E">
          <w:pPr>
            <w:pStyle w:val="TDC2"/>
            <w:tabs>
              <w:tab w:val="right" w:leader="dot" w:pos="10490"/>
            </w:tabs>
            <w:ind w:left="851"/>
            <w:rPr>
              <w:rFonts w:ascii="Arial" w:hAnsi="Arial" w:cs="Arial"/>
              <w:noProof/>
              <w:sz w:val="20"/>
              <w:szCs w:val="20"/>
            </w:rPr>
          </w:pPr>
          <w:hyperlink w:anchor="_Toc109038263" w:history="1">
            <w:r w:rsidRPr="00CD387E">
              <w:rPr>
                <w:rStyle w:val="Hipervnculo"/>
                <w:rFonts w:ascii="Arial" w:hAnsi="Arial" w:cs="Arial"/>
                <w:b/>
                <w:noProof/>
                <w:sz w:val="20"/>
                <w:szCs w:val="20"/>
              </w:rPr>
              <w:t>Fomento a la televisión y otros medios</w: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_Toc109038263 \h </w:instrTex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EF4C52" w14:textId="5D49A47E" w:rsidR="00CD387E" w:rsidRPr="00CD387E" w:rsidRDefault="00CD387E" w:rsidP="00CD387E">
          <w:pPr>
            <w:pStyle w:val="TDC2"/>
            <w:tabs>
              <w:tab w:val="right" w:leader="dot" w:pos="10490"/>
            </w:tabs>
            <w:ind w:left="851"/>
            <w:rPr>
              <w:rFonts w:ascii="Arial" w:hAnsi="Arial" w:cs="Arial"/>
              <w:noProof/>
              <w:sz w:val="20"/>
              <w:szCs w:val="20"/>
            </w:rPr>
          </w:pPr>
          <w:hyperlink w:anchor="_Toc109038264" w:history="1">
            <w:r w:rsidRPr="00CD387E">
              <w:rPr>
                <w:rStyle w:val="Hipervnculo"/>
                <w:rFonts w:ascii="Arial" w:hAnsi="Arial" w:cs="Arial"/>
                <w:b/>
                <w:noProof/>
                <w:sz w:val="20"/>
                <w:szCs w:val="20"/>
              </w:rPr>
              <w:t>Otras acciones de fomento</w: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_Toc109038264 \h </w:instrTex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CD387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4F8988" w14:textId="0F943089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65" w:history="1">
            <w:r w:rsidRPr="00CD387E">
              <w:rPr>
                <w:rStyle w:val="Hipervnculo"/>
                <w:b/>
                <w:noProof/>
                <w:lang w:val="es-AR"/>
              </w:rPr>
              <w:t>Presentación de proyectos a través de la ventanilla única electrónica del INCAA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_Toc109038265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7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775BF288" w14:textId="5B38513E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66" w:history="1">
            <w:r w:rsidRPr="00CD387E">
              <w:rPr>
                <w:rStyle w:val="Hipervnculo"/>
                <w:b/>
                <w:noProof/>
                <w:lang w:val="es-AR"/>
              </w:rPr>
              <w:t>Fondo de asistencia para la reactivación de rodajes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_Toc109038266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8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1D743A3A" w14:textId="5F46A7ED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67" w:history="1">
            <w:r w:rsidRPr="00CD387E">
              <w:rPr>
                <w:rStyle w:val="Hipervnculo"/>
                <w:b/>
                <w:noProof/>
                <w:lang w:val="es-AR"/>
              </w:rPr>
              <w:t>Perspectiva federal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_Toc109038267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9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0EEA8F6D" w14:textId="6CC9A244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68" w:history="1">
            <w:r w:rsidRPr="00CD387E">
              <w:rPr>
                <w:rStyle w:val="Hipervnculo"/>
                <w:b/>
                <w:noProof/>
                <w:lang w:val="es-AR"/>
              </w:rPr>
              <w:t>Coproducciones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_Toc109038268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10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578CFF98" w14:textId="6CFE8754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69" w:history="1">
            <w:r w:rsidRPr="00CD387E">
              <w:rPr>
                <w:rStyle w:val="Hipervnculo"/>
                <w:b/>
                <w:noProof/>
                <w:lang w:val="es-AR"/>
              </w:rPr>
              <w:t>Inicios de rodaje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_Toc109038269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11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5736507F" w14:textId="7EE4F6E4" w:rsidR="00CD387E" w:rsidRPr="00CD387E" w:rsidRDefault="00CD387E">
          <w:pPr>
            <w:pStyle w:val="TDC1"/>
            <w:rPr>
              <w:rFonts w:eastAsiaTheme="minorEastAsia"/>
              <w:noProof/>
              <w:lang w:val="es-AR"/>
            </w:rPr>
          </w:pPr>
          <w:hyperlink w:anchor="_Toc109038270" w:history="1">
            <w:r w:rsidRPr="00CD387E">
              <w:rPr>
                <w:rStyle w:val="Hipervnculo"/>
                <w:b/>
                <w:noProof/>
                <w:lang w:val="es-AR"/>
              </w:rPr>
              <w:t>Conclusiones generales</w:t>
            </w:r>
            <w:r w:rsidRPr="00CD387E">
              <w:rPr>
                <w:noProof/>
                <w:webHidden/>
              </w:rPr>
              <w:tab/>
            </w:r>
            <w:r w:rsidRPr="00CD387E">
              <w:rPr>
                <w:noProof/>
                <w:webHidden/>
              </w:rPr>
              <w:fldChar w:fldCharType="begin"/>
            </w:r>
            <w:r w:rsidRPr="00CD387E">
              <w:rPr>
                <w:noProof/>
                <w:webHidden/>
              </w:rPr>
              <w:instrText xml:space="preserve"> PAGEREF _Toc109038270 \h </w:instrText>
            </w:r>
            <w:r w:rsidRPr="00CD387E">
              <w:rPr>
                <w:noProof/>
                <w:webHidden/>
              </w:rPr>
            </w:r>
            <w:r w:rsidRPr="00CD387E">
              <w:rPr>
                <w:noProof/>
                <w:webHidden/>
              </w:rPr>
              <w:fldChar w:fldCharType="separate"/>
            </w:r>
            <w:r w:rsidRPr="00CD387E">
              <w:rPr>
                <w:noProof/>
                <w:webHidden/>
              </w:rPr>
              <w:t>12</w:t>
            </w:r>
            <w:r w:rsidRPr="00CD387E">
              <w:rPr>
                <w:noProof/>
                <w:webHidden/>
              </w:rPr>
              <w:fldChar w:fldCharType="end"/>
            </w:r>
          </w:hyperlink>
        </w:p>
        <w:p w14:paraId="1DC149DE" w14:textId="59BAEFA7" w:rsidR="00273333" w:rsidRDefault="00273333" w:rsidP="00273333">
          <w:pPr>
            <w:spacing w:before="240" w:after="240"/>
            <w:rPr>
              <w:rFonts w:eastAsia="Calibri"/>
              <w:b/>
            </w:rPr>
          </w:pPr>
          <w:r w:rsidRPr="00E05963">
            <w:rPr>
              <w:rStyle w:val="Hipervnculo"/>
              <w:caps/>
              <w:noProof/>
              <w:color w:val="1F497D" w:themeColor="text2"/>
              <w:lang w:val="es-AR"/>
            </w:rPr>
            <w:fldChar w:fldCharType="end"/>
          </w:r>
        </w:p>
      </w:sdtContent>
    </w:sdt>
    <w:p w14:paraId="241C2E84" w14:textId="2D0C5179" w:rsidR="004868B2" w:rsidRDefault="00273333" w:rsidP="00CD387E">
      <w:pPr>
        <w:ind w:left="130" w:firstLine="720"/>
        <w:rPr>
          <w:b/>
          <w:color w:val="2B3183"/>
          <w:sz w:val="48"/>
          <w:szCs w:val="48"/>
          <w:lang w:val="es-AR"/>
        </w:rPr>
      </w:pPr>
      <w:r>
        <w:rPr>
          <w:b/>
          <w:color w:val="2B3183"/>
          <w:sz w:val="48"/>
          <w:szCs w:val="48"/>
          <w:lang w:val="es-AR"/>
        </w:rPr>
        <w:br w:type="page"/>
      </w:r>
      <w:bookmarkStart w:id="0" w:name="_Toc109038260"/>
      <w:r w:rsidR="004868B2" w:rsidRPr="004868B2">
        <w:rPr>
          <w:b/>
          <w:color w:val="2B3183"/>
          <w:sz w:val="48"/>
          <w:szCs w:val="48"/>
          <w:lang w:val="es-AR"/>
        </w:rPr>
        <w:lastRenderedPageBreak/>
        <w:t>Introducción</w:t>
      </w:r>
      <w:bookmarkEnd w:id="0"/>
    </w:p>
    <w:p w14:paraId="6988831C" w14:textId="77777777" w:rsidR="004868B2" w:rsidRPr="008365F3" w:rsidRDefault="004868B2" w:rsidP="004868B2">
      <w:pPr>
        <w:widowControl w:val="0"/>
        <w:spacing w:line="360" w:lineRule="auto"/>
        <w:ind w:left="850" w:right="284"/>
        <w:jc w:val="both"/>
        <w:rPr>
          <w:sz w:val="24"/>
          <w:szCs w:val="24"/>
          <w:lang w:val="es-AR"/>
        </w:rPr>
      </w:pPr>
      <w:r w:rsidRPr="002B4404">
        <w:rPr>
          <w:b/>
          <w:color w:val="2B3183"/>
          <w:sz w:val="48"/>
          <w:szCs w:val="48"/>
          <w:lang w:val="es-AR"/>
        </w:rPr>
        <w:t>—</w:t>
      </w:r>
    </w:p>
    <w:p w14:paraId="56467F25" w14:textId="77777777" w:rsidR="004868B2" w:rsidRPr="004868B2" w:rsidRDefault="004868B2" w:rsidP="004868B2">
      <w:pPr>
        <w:rPr>
          <w:lang w:val="es-AR"/>
        </w:rPr>
      </w:pPr>
    </w:p>
    <w:p w14:paraId="68314535" w14:textId="77777777" w:rsidR="004868B2" w:rsidRPr="00273333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273333">
        <w:rPr>
          <w:rFonts w:eastAsia="Calibri"/>
          <w:sz w:val="24"/>
          <w:szCs w:val="24"/>
        </w:rPr>
        <w:t xml:space="preserve">El presente </w:t>
      </w:r>
      <w:r w:rsidRPr="00273333">
        <w:rPr>
          <w:rFonts w:eastAsia="Calibri"/>
          <w:sz w:val="24"/>
          <w:szCs w:val="24"/>
          <w:highlight w:val="white"/>
        </w:rPr>
        <w:t xml:space="preserve">informe procura dar cuenta de </w:t>
      </w:r>
      <w:r w:rsidRPr="00273333">
        <w:rPr>
          <w:rFonts w:eastAsia="Calibri"/>
          <w:sz w:val="24"/>
          <w:szCs w:val="24"/>
        </w:rPr>
        <w:t>las acciones del INCAA durante el año 2021. Presenta datos sobre el fondo de fomento y su ejecución, así como sobre las respuestas implementadas para paliar los efectos de la pandemia de Covid-19. El trabajo fue realizado en base a datos e informes de distinta fuente, recabados y procesados por el Observatorio Audiovisual del Instituto.</w:t>
      </w:r>
    </w:p>
    <w:p w14:paraId="4538F87E" w14:textId="77777777" w:rsidR="004868B2" w:rsidRPr="00273333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273333">
        <w:rPr>
          <w:rFonts w:eastAsia="Calibri"/>
          <w:sz w:val="24"/>
          <w:szCs w:val="24"/>
        </w:rPr>
        <w:t>A tal fin, se propone un análisis de la ejecución presupuestaria y de las respuestas a la Pandemia a partir de un racconto de acciones, estadísticas de trámites online y la instrumentación del Fondo de Asistencia para la reactivación de rodajes. A ello se agrega una mirada de la perspectiva Federal (contabilizando inicios de rodaje, proyectos presentados/declarados de interés/ganadores) y de Género.</w:t>
      </w:r>
    </w:p>
    <w:p w14:paraId="35A1C561" w14:textId="77777777" w:rsidR="004868B2" w:rsidRPr="00273333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273333">
        <w:rPr>
          <w:rFonts w:eastAsia="Calibri"/>
          <w:sz w:val="24"/>
          <w:szCs w:val="24"/>
        </w:rPr>
        <w:t>El cine y el sector audiovisual en general fueron de los más perjudicados por la pandemia de Covid-19, en particular en las ramas de producción y, sobre todo, exhibición, algo que se notó en la abrupta caída de asistencia a las salas y, por tanto, en el porcentaje del presupuesto proveniente de las entradas de cine (10% de cada entrada).</w:t>
      </w:r>
    </w:p>
    <w:p w14:paraId="59E038A5" w14:textId="77777777" w:rsidR="00273333" w:rsidRPr="00C26599" w:rsidRDefault="004868B2" w:rsidP="00273333">
      <w:pPr>
        <w:ind w:left="851"/>
        <w:jc w:val="both"/>
        <w:rPr>
          <w:b/>
          <w:color w:val="2B3183"/>
          <w:sz w:val="24"/>
          <w:szCs w:val="24"/>
          <w:lang w:val="es-AR"/>
        </w:rPr>
      </w:pPr>
      <w:r w:rsidRPr="00C26599">
        <w:rPr>
          <w:b/>
          <w:color w:val="2B3183"/>
          <w:sz w:val="24"/>
          <w:szCs w:val="24"/>
          <w:lang w:val="es-AR"/>
        </w:rPr>
        <w:t>Fuentes de Ingreso para el INCAA por recaudación impositiva período 2021</w:t>
      </w:r>
    </w:p>
    <w:p w14:paraId="1A1DD848" w14:textId="5CF19965" w:rsidR="004868B2" w:rsidRPr="00C26599" w:rsidRDefault="004868B2" w:rsidP="00273333">
      <w:pPr>
        <w:ind w:left="851"/>
        <w:jc w:val="both"/>
        <w:rPr>
          <w:b/>
          <w:color w:val="2B3183"/>
          <w:sz w:val="24"/>
          <w:szCs w:val="24"/>
          <w:lang w:val="es-AR"/>
        </w:rPr>
      </w:pPr>
      <w:r w:rsidRPr="00C26599">
        <w:rPr>
          <w:b/>
          <w:color w:val="2B3183"/>
          <w:sz w:val="24"/>
          <w:szCs w:val="24"/>
          <w:lang w:val="es-AR"/>
        </w:rPr>
        <w:t>(hasta el 31/12/21).</w:t>
      </w:r>
    </w:p>
    <w:p w14:paraId="3B96A0F7" w14:textId="77777777" w:rsidR="00273333" w:rsidRPr="00273333" w:rsidRDefault="00273333" w:rsidP="00273333">
      <w:pPr>
        <w:ind w:left="851"/>
        <w:jc w:val="both"/>
        <w:rPr>
          <w:rFonts w:eastAsia="Calibri"/>
          <w:b/>
          <w:sz w:val="24"/>
          <w:szCs w:val="24"/>
        </w:rPr>
      </w:pPr>
    </w:p>
    <w:tbl>
      <w:tblPr>
        <w:tblW w:w="85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2976"/>
        <w:gridCol w:w="2127"/>
      </w:tblGrid>
      <w:tr w:rsidR="00F00CE2" w:rsidRPr="00273333" w14:paraId="51648121" w14:textId="77777777" w:rsidTr="00F00CE2">
        <w:trPr>
          <w:trHeight w:val="477"/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FF04EC" w14:textId="77777777" w:rsidR="004868B2" w:rsidRPr="00C26599" w:rsidRDefault="004868B2" w:rsidP="00C26599">
            <w:pPr>
              <w:spacing w:line="240" w:lineRule="auto"/>
            </w:pPr>
            <w:r w:rsidRPr="00C26599">
              <w:t>ENACOM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C7F25" w14:textId="20084BE2" w:rsidR="004868B2" w:rsidRPr="00C26599" w:rsidRDefault="00C26599" w:rsidP="00C26599">
            <w:pPr>
              <w:spacing w:line="240" w:lineRule="auto"/>
              <w:jc w:val="right"/>
            </w:pPr>
            <w:r w:rsidRPr="00C26599">
              <w:t xml:space="preserve">$ </w:t>
            </w:r>
            <w:r w:rsidR="004868B2" w:rsidRPr="00C26599">
              <w:t>3.582.104.894,23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64C4" w14:textId="77777777" w:rsidR="004868B2" w:rsidRPr="00C26599" w:rsidRDefault="004868B2" w:rsidP="00C26599">
            <w:pPr>
              <w:spacing w:line="240" w:lineRule="auto"/>
              <w:jc w:val="right"/>
            </w:pPr>
            <w:r w:rsidRPr="00C26599">
              <w:t>89,82%</w:t>
            </w:r>
          </w:p>
        </w:tc>
      </w:tr>
      <w:tr w:rsidR="00F00CE2" w:rsidRPr="00273333" w14:paraId="19251E16" w14:textId="77777777" w:rsidTr="00F00CE2">
        <w:trPr>
          <w:trHeight w:val="450"/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BAA53C" w14:textId="77777777" w:rsidR="004868B2" w:rsidRPr="00C26599" w:rsidRDefault="004868B2" w:rsidP="00C26599">
            <w:pPr>
              <w:spacing w:line="240" w:lineRule="auto"/>
            </w:pPr>
            <w:r w:rsidRPr="00C26599">
              <w:t>ENTRADAS DE CINE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61A4E5" w14:textId="21A8F617" w:rsidR="004868B2" w:rsidRPr="00C26599" w:rsidRDefault="00C26599" w:rsidP="00C26599">
            <w:pPr>
              <w:spacing w:line="240" w:lineRule="auto"/>
              <w:jc w:val="right"/>
            </w:pPr>
            <w:r w:rsidRPr="00C26599">
              <w:t xml:space="preserve">$ </w:t>
            </w:r>
            <w:r w:rsidR="004868B2" w:rsidRPr="00C26599">
              <w:t>366.533.000,00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C494" w14:textId="77777777" w:rsidR="004868B2" w:rsidRPr="00C26599" w:rsidRDefault="004868B2" w:rsidP="00C26599">
            <w:pPr>
              <w:spacing w:line="240" w:lineRule="auto"/>
              <w:jc w:val="right"/>
            </w:pPr>
            <w:r w:rsidRPr="00C26599">
              <w:t>9,19%</w:t>
            </w:r>
          </w:p>
        </w:tc>
      </w:tr>
      <w:tr w:rsidR="00F00CE2" w:rsidRPr="00273333" w14:paraId="3809DDDB" w14:textId="77777777" w:rsidTr="00F00CE2">
        <w:trPr>
          <w:trHeight w:val="20"/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FFEDEF" w14:textId="77777777" w:rsidR="004868B2" w:rsidRPr="00C26599" w:rsidRDefault="004868B2" w:rsidP="00C26599">
            <w:pPr>
              <w:spacing w:line="240" w:lineRule="auto"/>
            </w:pPr>
            <w:r w:rsidRPr="00C26599">
              <w:t>VIDEO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57CFA7" w14:textId="103315FA" w:rsidR="004868B2" w:rsidRPr="00C26599" w:rsidRDefault="00C26599" w:rsidP="00C26599">
            <w:pPr>
              <w:spacing w:line="240" w:lineRule="auto"/>
              <w:jc w:val="right"/>
            </w:pPr>
            <w:r w:rsidRPr="00C26599">
              <w:t xml:space="preserve">$ </w:t>
            </w:r>
            <w:r w:rsidR="004868B2" w:rsidRPr="00C26599">
              <w:t>39.442.000,00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0DBD" w14:textId="77777777" w:rsidR="004868B2" w:rsidRPr="00C26599" w:rsidRDefault="004868B2" w:rsidP="00C26599">
            <w:pPr>
              <w:spacing w:line="240" w:lineRule="auto"/>
              <w:jc w:val="right"/>
            </w:pPr>
            <w:r w:rsidRPr="00C26599">
              <w:t>0,99%</w:t>
            </w:r>
          </w:p>
        </w:tc>
      </w:tr>
      <w:tr w:rsidR="00F00CE2" w:rsidRPr="00273333" w14:paraId="27AC3C82" w14:textId="77777777" w:rsidTr="00F00CE2">
        <w:trPr>
          <w:trHeight w:val="20"/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0FE5C" w14:textId="77777777" w:rsidR="004868B2" w:rsidRPr="00F00CE2" w:rsidRDefault="004868B2" w:rsidP="00C26599">
            <w:pPr>
              <w:spacing w:before="240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F00CE2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7B0D86" w14:textId="644C9B60" w:rsidR="004868B2" w:rsidRPr="00F00CE2" w:rsidRDefault="00C26599" w:rsidP="00C26599">
            <w:pPr>
              <w:spacing w:before="240"/>
              <w:jc w:val="right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F00CE2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$ </w:t>
            </w:r>
            <w:r w:rsidR="004868B2" w:rsidRPr="00F00CE2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3.988.079.894,23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C27F" w14:textId="77777777" w:rsidR="004868B2" w:rsidRPr="00F00CE2" w:rsidRDefault="004868B2" w:rsidP="00C26599">
            <w:pPr>
              <w:spacing w:before="240"/>
              <w:jc w:val="right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F00CE2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100%</w:t>
            </w:r>
          </w:p>
        </w:tc>
      </w:tr>
    </w:tbl>
    <w:p w14:paraId="159A0DD0" w14:textId="77777777" w:rsidR="004868B2" w:rsidRPr="00C26599" w:rsidRDefault="004868B2" w:rsidP="00273333">
      <w:pPr>
        <w:spacing w:before="240"/>
        <w:ind w:left="851"/>
        <w:jc w:val="both"/>
        <w:rPr>
          <w:rFonts w:eastAsia="Calibri"/>
        </w:rPr>
      </w:pPr>
      <w:r w:rsidRPr="00C26599">
        <w:rPr>
          <w:b/>
          <w:color w:val="2B3183"/>
          <w:lang w:val="es-AR"/>
        </w:rPr>
        <w:t>Fuente:</w:t>
      </w:r>
      <w:r w:rsidRPr="00C26599">
        <w:rPr>
          <w:rFonts w:eastAsia="Calibri"/>
        </w:rPr>
        <w:t xml:space="preserve"> INCAA - Coordinación de Planificación Presupuestaria y Financiera.</w:t>
      </w:r>
    </w:p>
    <w:p w14:paraId="5210B316" w14:textId="77777777" w:rsidR="004868B2" w:rsidRPr="00273333" w:rsidRDefault="004868B2" w:rsidP="00273333">
      <w:pPr>
        <w:spacing w:before="240"/>
        <w:ind w:left="851"/>
        <w:jc w:val="both"/>
        <w:rPr>
          <w:rFonts w:eastAsia="Calibri"/>
          <w:sz w:val="24"/>
          <w:szCs w:val="24"/>
        </w:rPr>
      </w:pPr>
      <w:r w:rsidRPr="00273333">
        <w:rPr>
          <w:rFonts w:eastAsia="Calibri"/>
          <w:sz w:val="24"/>
          <w:szCs w:val="24"/>
        </w:rPr>
        <w:t>En tal sentido, lo primero que hay que exponer es el tema crítico de la ejecución presupuestaria para el Fomento de la actividad cinematográfica.</w:t>
      </w:r>
    </w:p>
    <w:p w14:paraId="79961735" w14:textId="77777777" w:rsidR="00F00CE2" w:rsidRDefault="00F00CE2">
      <w:pPr>
        <w:rPr>
          <w:rFonts w:eastAsia="Calibri"/>
          <w:b/>
          <w:sz w:val="24"/>
          <w:szCs w:val="24"/>
        </w:rPr>
      </w:pPr>
      <w:bookmarkStart w:id="1" w:name="_8rxsg4tkciam" w:colFirst="0" w:colLast="0"/>
      <w:bookmarkEnd w:id="1"/>
      <w:r>
        <w:rPr>
          <w:rFonts w:eastAsia="Calibri"/>
          <w:b/>
          <w:sz w:val="24"/>
          <w:szCs w:val="24"/>
        </w:rPr>
        <w:br w:type="page"/>
      </w:r>
    </w:p>
    <w:p w14:paraId="65B33A9E" w14:textId="132BFF03" w:rsidR="004868B2" w:rsidRPr="00F00CE2" w:rsidRDefault="00D87347" w:rsidP="00F00CE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2" w:name="_Toc109038261"/>
      <w:r w:rsidRPr="00F00CE2">
        <w:rPr>
          <w:b/>
          <w:color w:val="2B3183"/>
          <w:sz w:val="48"/>
          <w:szCs w:val="48"/>
          <w:lang w:val="es-AR"/>
        </w:rPr>
        <w:lastRenderedPageBreak/>
        <w:t>Ejecución presupuestaria de</w:t>
      </w:r>
      <w:r w:rsidR="004D11F2">
        <w:rPr>
          <w:b/>
          <w:color w:val="2B3183"/>
          <w:sz w:val="48"/>
          <w:szCs w:val="48"/>
          <w:lang w:val="es-AR"/>
        </w:rPr>
        <w:t xml:space="preserve"> </w:t>
      </w:r>
      <w:r w:rsidRPr="00F00CE2">
        <w:rPr>
          <w:b/>
          <w:color w:val="2B3183"/>
          <w:sz w:val="48"/>
          <w:szCs w:val="48"/>
          <w:lang w:val="es-AR"/>
        </w:rPr>
        <w:t>fomento</w:t>
      </w:r>
      <w:bookmarkEnd w:id="2"/>
    </w:p>
    <w:p w14:paraId="27DCA142" w14:textId="0178EF69" w:rsidR="004868B2" w:rsidRPr="00D87347" w:rsidRDefault="00F00CE2" w:rsidP="00D87347">
      <w:pPr>
        <w:pStyle w:val="Ttulo2"/>
        <w:ind w:left="130" w:firstLine="720"/>
        <w:rPr>
          <w:b/>
          <w:color w:val="2B3183"/>
          <w:sz w:val="40"/>
          <w:szCs w:val="40"/>
          <w:lang w:val="es-AR"/>
        </w:rPr>
      </w:pPr>
      <w:bookmarkStart w:id="3" w:name="_pfsrkg951lk7" w:colFirst="0" w:colLast="0"/>
      <w:bookmarkStart w:id="4" w:name="_Toc109038262"/>
      <w:bookmarkEnd w:id="3"/>
      <w:r w:rsidRPr="00D87347">
        <w:rPr>
          <w:b/>
          <w:color w:val="2B3183"/>
          <w:sz w:val="40"/>
          <w:szCs w:val="40"/>
          <w:lang w:val="es-AR"/>
        </w:rPr>
        <w:t>Fomento cine directo</w:t>
      </w:r>
      <w:bookmarkEnd w:id="4"/>
    </w:p>
    <w:p w14:paraId="56231CFE" w14:textId="77777777" w:rsidR="004868B2" w:rsidRPr="00F00CE2" w:rsidRDefault="004868B2" w:rsidP="00273333">
      <w:pPr>
        <w:spacing w:before="240"/>
        <w:ind w:left="851"/>
        <w:jc w:val="both"/>
        <w:rPr>
          <w:rFonts w:eastAsia="Calibri"/>
          <w:sz w:val="24"/>
          <w:szCs w:val="24"/>
        </w:rPr>
      </w:pPr>
      <w:r w:rsidRPr="00F00CE2">
        <w:rPr>
          <w:rFonts w:eastAsia="Calibri"/>
          <w:sz w:val="24"/>
          <w:szCs w:val="24"/>
        </w:rPr>
        <w:t xml:space="preserve">El Fomento Cine Directo incluye </w:t>
      </w:r>
      <w:r w:rsidRPr="00F00CE2">
        <w:rPr>
          <w:rFonts w:eastAsia="Calibri"/>
          <w:b/>
          <w:sz w:val="24"/>
          <w:szCs w:val="24"/>
        </w:rPr>
        <w:t xml:space="preserve">subsidios a la producción de películas, anticipos de subsidios a la producción de películas netos de compensaciones </w:t>
      </w:r>
      <w:r w:rsidRPr="00F00CE2">
        <w:rPr>
          <w:rFonts w:eastAsia="Calibri"/>
          <w:sz w:val="24"/>
          <w:szCs w:val="24"/>
        </w:rPr>
        <w:t xml:space="preserve">(anticipos de masa salarial, anticipos Copia A, anticipos a efectos de rodaje), y </w:t>
      </w:r>
      <w:r w:rsidRPr="00F00CE2">
        <w:rPr>
          <w:rFonts w:eastAsia="Calibri"/>
          <w:b/>
          <w:sz w:val="24"/>
          <w:szCs w:val="24"/>
        </w:rPr>
        <w:t>otras transferencias como las destinadas a premios de Convocatorias de Largometrajes y Cortometrajes, Documentales Vía Digitales y Coproducciones Cinematográficas</w:t>
      </w:r>
      <w:r w:rsidRPr="00F00CE2">
        <w:rPr>
          <w:rFonts w:eastAsia="Calibri"/>
          <w:sz w:val="24"/>
          <w:szCs w:val="24"/>
        </w:rPr>
        <w:t>.</w:t>
      </w:r>
    </w:p>
    <w:p w14:paraId="1C1C2912" w14:textId="77777777" w:rsidR="004868B2" w:rsidRPr="00F00CE2" w:rsidRDefault="004868B2" w:rsidP="00273333">
      <w:pPr>
        <w:spacing w:before="240"/>
        <w:ind w:left="851"/>
        <w:jc w:val="both"/>
        <w:rPr>
          <w:rFonts w:eastAsia="Calibri"/>
          <w:sz w:val="24"/>
          <w:szCs w:val="24"/>
        </w:rPr>
      </w:pPr>
      <w:r w:rsidRPr="00F00CE2">
        <w:rPr>
          <w:rFonts w:eastAsia="Calibri"/>
          <w:b/>
          <w:sz w:val="24"/>
          <w:szCs w:val="24"/>
        </w:rPr>
        <w:t xml:space="preserve">En 2021, el INCAA ha efectuado pagos de Subsidios a la Producción de Películas por la suma total de $2.264.626.786,90, lo que representa el 56,78% de los recursos impositivos del año. </w:t>
      </w:r>
      <w:r w:rsidRPr="00F00CE2">
        <w:rPr>
          <w:rFonts w:eastAsia="Calibri"/>
          <w:sz w:val="24"/>
          <w:szCs w:val="24"/>
        </w:rPr>
        <w:t xml:space="preserve">A lo largo del año, </w:t>
      </w:r>
      <w:r w:rsidRPr="00F00CE2">
        <w:rPr>
          <w:rFonts w:eastAsia="Calibri"/>
          <w:b/>
          <w:sz w:val="24"/>
          <w:szCs w:val="24"/>
        </w:rPr>
        <w:t>892 proyectos distintos recibieron algún tipo de pago en todas las líneas de fomento del INCAA</w:t>
      </w:r>
      <w:r w:rsidRPr="00F00CE2">
        <w:rPr>
          <w:rFonts w:eastAsia="Calibri"/>
          <w:sz w:val="24"/>
          <w:szCs w:val="24"/>
        </w:rPr>
        <w:t>: Subsidios y anticipos de subsidios, Coproducciones cinematográficas, Concursos y Convocatorias de Óperas Primas, Cortometrajes y Desarrollo de Proyectos, Documentales Vía Digital y Concursos de TV y Otros medios.</w:t>
      </w:r>
    </w:p>
    <w:p w14:paraId="7F60677C" w14:textId="77777777" w:rsidR="004868B2" w:rsidRPr="005470CB" w:rsidRDefault="004868B2" w:rsidP="00D87347">
      <w:pPr>
        <w:spacing w:before="240"/>
        <w:ind w:left="851"/>
        <w:jc w:val="center"/>
        <w:rPr>
          <w:rFonts w:eastAsia="Calibri"/>
        </w:rPr>
      </w:pPr>
    </w:p>
    <w:tbl>
      <w:tblPr>
        <w:tblW w:w="10201" w:type="dxa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3391"/>
        <w:gridCol w:w="2835"/>
      </w:tblGrid>
      <w:tr w:rsidR="004868B2" w:rsidRPr="005470CB" w14:paraId="7FB448A2" w14:textId="77777777" w:rsidTr="00D87347">
        <w:trPr>
          <w:trHeight w:val="7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8FC" w14:textId="77777777" w:rsidR="004868B2" w:rsidRPr="00D87347" w:rsidRDefault="004868B2" w:rsidP="00F00CE2">
            <w:pPr>
              <w:widowControl w:val="0"/>
              <w:rPr>
                <w:rFonts w:eastAsia="Calibri"/>
                <w:b/>
                <w:color w:val="FFFFFF" w:themeColor="background1"/>
              </w:rPr>
            </w:pPr>
            <w:r w:rsidRPr="00D87347">
              <w:rPr>
                <w:rFonts w:eastAsia="Calibri"/>
                <w:b/>
                <w:color w:val="FFFFFF" w:themeColor="background1"/>
              </w:rPr>
              <w:t>EJECUCIÓN FOMENTO INCAA</w:t>
            </w:r>
          </w:p>
          <w:p w14:paraId="2C52959E" w14:textId="77777777" w:rsidR="004868B2" w:rsidRPr="00D87347" w:rsidRDefault="004868B2" w:rsidP="00F00CE2">
            <w:pPr>
              <w:widowControl w:val="0"/>
              <w:rPr>
                <w:rFonts w:eastAsia="Calibri"/>
                <w:b/>
                <w:color w:val="FFFFFF" w:themeColor="background1"/>
              </w:rPr>
            </w:pPr>
            <w:r w:rsidRPr="00D87347">
              <w:rPr>
                <w:rFonts w:eastAsia="Calibri"/>
                <w:b/>
                <w:color w:val="FFFFFF" w:themeColor="background1"/>
              </w:rPr>
              <w:t>DEL 01-01-21 AL 31-12-21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9F78" w14:textId="77777777" w:rsidR="004868B2" w:rsidRPr="00D87347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FFFFFF" w:themeColor="background1"/>
              </w:rPr>
            </w:pPr>
            <w:r w:rsidRPr="00D87347">
              <w:rPr>
                <w:rFonts w:eastAsia="Calibri"/>
                <w:b/>
                <w:color w:val="FFFFFF" w:themeColor="background1"/>
              </w:rPr>
              <w:t>Proyectos que recibieron subsidios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CF6" w14:textId="77777777" w:rsidR="004868B2" w:rsidRPr="00D87347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color w:val="FFFFFF" w:themeColor="background1"/>
              </w:rPr>
            </w:pPr>
            <w:r w:rsidRPr="00D87347">
              <w:rPr>
                <w:rFonts w:eastAsia="Calibri"/>
                <w:b/>
                <w:color w:val="FFFFFF" w:themeColor="background1"/>
              </w:rPr>
              <w:t>Monto ejecutado</w:t>
            </w:r>
          </w:p>
        </w:tc>
      </w:tr>
      <w:tr w:rsidR="004868B2" w:rsidRPr="005470CB" w14:paraId="43DD0B80" w14:textId="77777777" w:rsidTr="00D87347">
        <w:trPr>
          <w:trHeight w:val="1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64F0" w14:textId="77777777" w:rsidR="004868B2" w:rsidRPr="005470CB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 xml:space="preserve">Subsidio a la Producción de Películas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2F38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367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3DA0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$ 1.954.439.361</w:t>
            </w:r>
          </w:p>
        </w:tc>
      </w:tr>
      <w:tr w:rsidR="004868B2" w:rsidRPr="005470CB" w14:paraId="05B914E5" w14:textId="77777777" w:rsidTr="00D87347">
        <w:trPr>
          <w:trHeight w:val="2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77" w14:textId="0ADABFDF" w:rsidR="004868B2" w:rsidRPr="005470CB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Asistencia Financiera a la Producción de</w:t>
            </w:r>
            <w:r w:rsidR="00F00CE2">
              <w:rPr>
                <w:rFonts w:eastAsia="Calibri"/>
              </w:rPr>
              <w:t xml:space="preserve"> </w:t>
            </w:r>
            <w:r w:rsidRPr="005470CB">
              <w:rPr>
                <w:rFonts w:eastAsia="Calibri"/>
              </w:rPr>
              <w:t>Películas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5A7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BB23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$ 0</w:t>
            </w:r>
          </w:p>
        </w:tc>
      </w:tr>
      <w:tr w:rsidR="004868B2" w:rsidRPr="005470CB" w14:paraId="63035B4F" w14:textId="77777777" w:rsidTr="00D87347">
        <w:trPr>
          <w:trHeight w:val="29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4D3D" w14:textId="77777777" w:rsidR="004868B2" w:rsidRPr="005470CB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Coproducciones Cinematográficas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F1E8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1578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$ 55.738.161</w:t>
            </w:r>
          </w:p>
        </w:tc>
      </w:tr>
      <w:tr w:rsidR="004868B2" w:rsidRPr="005470CB" w14:paraId="68BE1CBE" w14:textId="77777777" w:rsidTr="00D87347">
        <w:trPr>
          <w:trHeight w:val="31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C0D1" w14:textId="77777777" w:rsidR="004868B2" w:rsidRPr="005470CB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Documentales Vía Digital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C09B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DA5E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$ 153.414.375</w:t>
            </w:r>
          </w:p>
        </w:tc>
      </w:tr>
      <w:tr w:rsidR="004868B2" w:rsidRPr="005470CB" w14:paraId="495FF56B" w14:textId="77777777" w:rsidTr="00D87347">
        <w:trPr>
          <w:trHeight w:val="26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81A2" w14:textId="77777777" w:rsidR="004868B2" w:rsidRPr="005470CB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Desarrollo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112D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9F59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$ 24.072.720</w:t>
            </w:r>
          </w:p>
        </w:tc>
      </w:tr>
      <w:tr w:rsidR="004868B2" w:rsidRPr="005470CB" w14:paraId="04D9D23C" w14:textId="77777777" w:rsidTr="00D87347">
        <w:trPr>
          <w:trHeight w:val="18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ECC8" w14:textId="77777777" w:rsidR="004868B2" w:rsidRPr="005470CB" w:rsidRDefault="004868B2" w:rsidP="00F0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Concursos Óperas Primas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5F23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C18C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$ 59.418.460</w:t>
            </w:r>
          </w:p>
        </w:tc>
      </w:tr>
      <w:tr w:rsidR="004868B2" w:rsidRPr="005470CB" w14:paraId="3E804FDB" w14:textId="77777777" w:rsidTr="00D87347">
        <w:trPr>
          <w:trHeight w:val="1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E804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Cortometraje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BF56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36EF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$ 17.543.710</w:t>
            </w:r>
          </w:p>
        </w:tc>
      </w:tr>
      <w:tr w:rsidR="004868B2" w:rsidRPr="005470CB" w14:paraId="1ADCCAEA" w14:textId="77777777" w:rsidTr="00D87347">
        <w:trPr>
          <w:trHeight w:val="48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6703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Concursos TV y Otros Medios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D1DC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8A62" w14:textId="77777777" w:rsidR="004868B2" w:rsidRPr="005470CB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$ 32.291.601</w:t>
            </w:r>
          </w:p>
        </w:tc>
      </w:tr>
      <w:tr w:rsidR="004868B2" w:rsidRPr="00D87347" w14:paraId="6E9402F3" w14:textId="77777777" w:rsidTr="00D87347">
        <w:trPr>
          <w:trHeight w:val="1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34DF" w14:textId="77777777" w:rsidR="004868B2" w:rsidRPr="00D87347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FFFFFF" w:themeColor="background1"/>
              </w:rPr>
            </w:pPr>
            <w:r w:rsidRPr="00D87347">
              <w:rPr>
                <w:rFonts w:eastAsia="Calibri"/>
                <w:b/>
                <w:bCs/>
                <w:color w:val="FFFFFF" w:themeColor="background1"/>
              </w:rPr>
              <w:t>TOTAL DE PROYECTOS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1BE3" w14:textId="77777777" w:rsidR="004868B2" w:rsidRPr="00D87347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bCs/>
                <w:color w:val="FFFFFF" w:themeColor="background1"/>
              </w:rPr>
            </w:pPr>
            <w:r w:rsidRPr="00D87347">
              <w:rPr>
                <w:rFonts w:eastAsia="Calibri"/>
                <w:b/>
                <w:bCs/>
                <w:color w:val="FFFFFF" w:themeColor="background1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BB3E" w14:textId="77777777" w:rsidR="004868B2" w:rsidRPr="00D87347" w:rsidRDefault="004868B2" w:rsidP="00D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bCs/>
                <w:color w:val="FFFFFF" w:themeColor="background1"/>
              </w:rPr>
            </w:pPr>
            <w:r w:rsidRPr="00D87347">
              <w:rPr>
                <w:rFonts w:eastAsia="Calibri"/>
                <w:b/>
                <w:bCs/>
                <w:color w:val="FFFFFF" w:themeColor="background1"/>
              </w:rPr>
              <w:t>$ 2.296.918.388</w:t>
            </w:r>
          </w:p>
        </w:tc>
      </w:tr>
    </w:tbl>
    <w:p w14:paraId="3F4224C8" w14:textId="77777777" w:rsidR="004868B2" w:rsidRPr="005470CB" w:rsidRDefault="004868B2" w:rsidP="00273333">
      <w:pPr>
        <w:spacing w:before="240"/>
        <w:ind w:left="851"/>
        <w:jc w:val="both"/>
        <w:rPr>
          <w:rFonts w:eastAsia="Calibri"/>
          <w:sz w:val="20"/>
          <w:szCs w:val="20"/>
        </w:rPr>
      </w:pPr>
      <w:r w:rsidRPr="005470CB">
        <w:rPr>
          <w:rFonts w:eastAsia="Calibri"/>
          <w:b/>
          <w:sz w:val="20"/>
          <w:szCs w:val="20"/>
        </w:rPr>
        <w:t>Fuente:</w:t>
      </w:r>
      <w:r w:rsidRPr="005470CB">
        <w:rPr>
          <w:rFonts w:eastAsia="Calibri"/>
          <w:sz w:val="20"/>
          <w:szCs w:val="20"/>
        </w:rPr>
        <w:t xml:space="preserve"> INCAA - Coordinación de Planificación Presupuestaria y Financiera</w:t>
      </w:r>
    </w:p>
    <w:p w14:paraId="6789D3E9" w14:textId="047CDD9D" w:rsidR="004868B2" w:rsidRPr="00257DB1" w:rsidRDefault="00257DB1" w:rsidP="00257DB1">
      <w:pPr>
        <w:pStyle w:val="Ttulo2"/>
        <w:ind w:left="130" w:firstLine="720"/>
        <w:rPr>
          <w:b/>
          <w:color w:val="2B3183"/>
          <w:sz w:val="40"/>
          <w:szCs w:val="40"/>
          <w:lang w:val="es-AR"/>
        </w:rPr>
      </w:pPr>
      <w:bookmarkStart w:id="5" w:name="_Toc109038263"/>
      <w:r w:rsidRPr="00257DB1">
        <w:rPr>
          <w:b/>
          <w:color w:val="2B3183"/>
          <w:sz w:val="40"/>
          <w:szCs w:val="40"/>
          <w:lang w:val="es-AR"/>
        </w:rPr>
        <w:lastRenderedPageBreak/>
        <w:t>Fomento a la televisión y otros medios</w:t>
      </w:r>
      <w:bookmarkEnd w:id="5"/>
    </w:p>
    <w:p w14:paraId="2D9387E2" w14:textId="77777777" w:rsidR="004868B2" w:rsidRPr="00257DB1" w:rsidRDefault="004868B2" w:rsidP="00273333">
      <w:pPr>
        <w:spacing w:before="240"/>
        <w:ind w:left="851"/>
        <w:jc w:val="both"/>
        <w:rPr>
          <w:rFonts w:eastAsia="Calibri"/>
          <w:b/>
          <w:sz w:val="24"/>
          <w:szCs w:val="24"/>
        </w:rPr>
      </w:pPr>
      <w:r w:rsidRPr="00257DB1">
        <w:rPr>
          <w:rFonts w:eastAsia="Calibri"/>
          <w:b/>
          <w:sz w:val="24"/>
          <w:szCs w:val="24"/>
        </w:rPr>
        <w:t>En cuanto al fomento a contenidos para televisión y otros medios, hubo 40 proyectos distintos que recibieron pagos durante el año 2021,</w:t>
      </w:r>
      <w:r w:rsidRPr="00257DB1">
        <w:rPr>
          <w:rFonts w:eastAsia="Calibri"/>
          <w:sz w:val="24"/>
          <w:szCs w:val="24"/>
        </w:rPr>
        <w:t xml:space="preserve"> ganadores de concursos de desarrollo y producción de los concursos de TV y Otros Medios realizados en años previos. El total de premios pagados llega a </w:t>
      </w:r>
      <w:r w:rsidRPr="00257DB1">
        <w:rPr>
          <w:rFonts w:eastAsia="Calibri"/>
          <w:b/>
          <w:sz w:val="24"/>
          <w:szCs w:val="24"/>
        </w:rPr>
        <w:t>$32.291.601.</w:t>
      </w:r>
    </w:p>
    <w:p w14:paraId="0FD0B4B5" w14:textId="77777777" w:rsidR="004868B2" w:rsidRPr="005470CB" w:rsidRDefault="004868B2" w:rsidP="00273333">
      <w:pPr>
        <w:spacing w:before="240"/>
        <w:ind w:left="851"/>
        <w:jc w:val="center"/>
        <w:rPr>
          <w:rFonts w:eastAsia="Calibri"/>
          <w:b/>
        </w:rPr>
      </w:pPr>
    </w:p>
    <w:tbl>
      <w:tblPr>
        <w:tblW w:w="8500" w:type="dxa"/>
        <w:tblInd w:w="1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3220"/>
      </w:tblGrid>
      <w:tr w:rsidR="004868B2" w:rsidRPr="005470CB" w14:paraId="438CCBC8" w14:textId="77777777" w:rsidTr="003E2644">
        <w:trPr>
          <w:trHeight w:val="15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41CB" w14:textId="5742217C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257DB1">
              <w:rPr>
                <w:rFonts w:eastAsia="Calibri"/>
                <w:b/>
                <w:color w:val="FFFFFF" w:themeColor="background1"/>
              </w:rPr>
              <w:t>Año</w:t>
            </w:r>
            <w:r w:rsidR="00257DB1" w:rsidRPr="00257DB1">
              <w:rPr>
                <w:rFonts w:eastAsia="Calibri"/>
                <w:b/>
                <w:color w:val="FFFFFF" w:themeColor="background1"/>
              </w:rPr>
              <w:t xml:space="preserve"> 2021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F1DF" w14:textId="1F0B7FD2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center"/>
              <w:rPr>
                <w:rFonts w:eastAsia="Calibri"/>
                <w:b/>
              </w:rPr>
            </w:pPr>
          </w:p>
        </w:tc>
      </w:tr>
      <w:tr w:rsidR="004868B2" w:rsidRPr="005470CB" w14:paraId="4F68446F" w14:textId="77777777" w:rsidTr="003E2644">
        <w:trPr>
          <w:trHeight w:val="308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9459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Recaudación ENACOM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C1E5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$ 3.582.104.894,23</w:t>
            </w:r>
          </w:p>
        </w:tc>
      </w:tr>
      <w:tr w:rsidR="004868B2" w:rsidRPr="005470CB" w14:paraId="7BC5DA18" w14:textId="77777777" w:rsidTr="003E2644">
        <w:trPr>
          <w:trHeight w:val="29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32C9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Recaudación Impositiva total INCAA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2867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$ 3.988.079.894,23</w:t>
            </w:r>
          </w:p>
        </w:tc>
      </w:tr>
      <w:tr w:rsidR="004868B2" w:rsidRPr="005470CB" w14:paraId="6318D9E4" w14:textId="77777777" w:rsidTr="003E2644">
        <w:trPr>
          <w:trHeight w:val="44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D363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Porcentaje Ingresos INCAA provenientes de ENACOM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62CB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89,82%</w:t>
            </w:r>
          </w:p>
        </w:tc>
      </w:tr>
      <w:tr w:rsidR="004868B2" w:rsidRPr="005470CB" w14:paraId="0A50FA20" w14:textId="77777777" w:rsidTr="00257DB1">
        <w:trPr>
          <w:trHeight w:val="5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D8FE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Subsidios Concursos de TV y otros medios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67F6" w14:textId="77777777" w:rsidR="004868B2" w:rsidRPr="005470CB" w:rsidRDefault="004868B2" w:rsidP="00273333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$ 32.291.601</w:t>
            </w:r>
          </w:p>
        </w:tc>
      </w:tr>
      <w:tr w:rsidR="004868B2" w:rsidRPr="005470CB" w14:paraId="35AFB228" w14:textId="77777777" w:rsidTr="003E2644">
        <w:trPr>
          <w:trHeight w:val="24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421D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Premios Documentales Digitales (5° Vía)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3DFB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$ 121.299.143</w:t>
            </w:r>
          </w:p>
        </w:tc>
      </w:tr>
      <w:tr w:rsidR="004868B2" w:rsidRPr="005470CB" w14:paraId="50FC46AD" w14:textId="77777777" w:rsidTr="003E2644">
        <w:trPr>
          <w:trHeight w:val="49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78A2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TOTAL Subsidios de TV + Documentales digitales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98FE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$ 153.590.744</w:t>
            </w:r>
          </w:p>
        </w:tc>
      </w:tr>
      <w:tr w:rsidR="004868B2" w:rsidRPr="005470CB" w14:paraId="29207131" w14:textId="77777777" w:rsidTr="003E2644">
        <w:trPr>
          <w:trHeight w:val="15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4518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LSCA (artículo 97)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9949" w14:textId="77777777" w:rsidR="004868B2" w:rsidRPr="005470CB" w:rsidRDefault="004868B2" w:rsidP="002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4,29%</w:t>
            </w:r>
          </w:p>
        </w:tc>
      </w:tr>
    </w:tbl>
    <w:p w14:paraId="5CA33F50" w14:textId="64F7DE8D" w:rsidR="004868B2" w:rsidRPr="00257DB1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257DB1">
        <w:rPr>
          <w:rFonts w:eastAsia="Calibri"/>
          <w:sz w:val="24"/>
          <w:szCs w:val="24"/>
        </w:rPr>
        <w:t>En cuanto a los fondos aplicados al fomento a la producción de contenidos para televisión, se puede observar que, comparando con años anteriores, han decrecido. Esto puede deberse a la no apertura de concursos. Por otra parte, en sucesivas gestiones del INCAA se han modificado los modos de calcular y analizar el porcentaje de ejecución que surge de la Ley 26.522 de Servicios de Comunicación Audiovisual. En este caso en particular se estimó incluyendo los subsidios de Concursos de TV y otros medios y los de premios a Documentales Digitales.</w:t>
      </w:r>
    </w:p>
    <w:p w14:paraId="42169BF8" w14:textId="77777777" w:rsidR="00257DB1" w:rsidRDefault="00257DB1">
      <w:pPr>
        <w:rPr>
          <w:b/>
          <w:color w:val="2B3183"/>
          <w:sz w:val="40"/>
          <w:szCs w:val="40"/>
          <w:lang w:val="es-AR"/>
        </w:rPr>
      </w:pPr>
      <w:bookmarkStart w:id="6" w:name="_3w2py7kxics" w:colFirst="0" w:colLast="0"/>
      <w:bookmarkEnd w:id="6"/>
      <w:r>
        <w:rPr>
          <w:b/>
          <w:color w:val="2B3183"/>
          <w:sz w:val="40"/>
          <w:szCs w:val="40"/>
          <w:lang w:val="es-AR"/>
        </w:rPr>
        <w:br w:type="page"/>
      </w:r>
    </w:p>
    <w:p w14:paraId="7DC0CA15" w14:textId="786A5387" w:rsidR="004868B2" w:rsidRDefault="00257DB1" w:rsidP="00D03009">
      <w:pPr>
        <w:pStyle w:val="Ttulo2"/>
        <w:ind w:left="720" w:firstLine="131"/>
        <w:rPr>
          <w:b/>
          <w:color w:val="2B3183"/>
          <w:sz w:val="40"/>
          <w:szCs w:val="40"/>
          <w:lang w:val="es-AR"/>
        </w:rPr>
      </w:pPr>
      <w:bookmarkStart w:id="7" w:name="_Toc109038264"/>
      <w:r w:rsidRPr="00257DB1">
        <w:rPr>
          <w:b/>
          <w:color w:val="2B3183"/>
          <w:sz w:val="40"/>
          <w:szCs w:val="40"/>
          <w:lang w:val="es-AR"/>
        </w:rPr>
        <w:lastRenderedPageBreak/>
        <w:t>Otras acciones de fomento</w:t>
      </w:r>
      <w:bookmarkEnd w:id="7"/>
    </w:p>
    <w:p w14:paraId="22136B77" w14:textId="77777777" w:rsidR="00257DB1" w:rsidRPr="00257DB1" w:rsidRDefault="00257DB1" w:rsidP="00257DB1">
      <w:pPr>
        <w:rPr>
          <w:lang w:val="es-AR"/>
        </w:rPr>
      </w:pPr>
    </w:p>
    <w:tbl>
      <w:tblPr>
        <w:tblW w:w="92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229"/>
        <w:gridCol w:w="2835"/>
      </w:tblGrid>
      <w:tr w:rsidR="004868B2" w:rsidRPr="005470CB" w14:paraId="221A90C6" w14:textId="77777777" w:rsidTr="00986C4B">
        <w:trPr>
          <w:trHeight w:val="351"/>
          <w:jc w:val="center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1588A7" w14:textId="77777777" w:rsidR="004868B2" w:rsidRPr="00257DB1" w:rsidRDefault="004868B2" w:rsidP="00257DB1">
            <w:pPr>
              <w:spacing w:before="240"/>
              <w:rPr>
                <w:rFonts w:eastAsia="Calibri"/>
                <w:b/>
                <w:color w:val="FFFFFF" w:themeColor="background1"/>
              </w:rPr>
            </w:pPr>
            <w:r w:rsidRPr="00257DB1">
              <w:rPr>
                <w:rFonts w:eastAsia="Calibri"/>
                <w:b/>
                <w:color w:val="FFFFFF" w:themeColor="background1"/>
              </w:rPr>
              <w:t>Tipo de aporte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2866C8" w14:textId="77777777" w:rsidR="004868B2" w:rsidRPr="00257DB1" w:rsidRDefault="004868B2" w:rsidP="00273333">
            <w:pPr>
              <w:spacing w:before="240"/>
              <w:ind w:left="851"/>
              <w:jc w:val="center"/>
              <w:rPr>
                <w:rFonts w:eastAsia="Calibri"/>
                <w:b/>
                <w:color w:val="FFFFFF" w:themeColor="background1"/>
              </w:rPr>
            </w:pPr>
            <w:r w:rsidRPr="00257DB1">
              <w:rPr>
                <w:rFonts w:eastAsia="Calibri"/>
                <w:b/>
                <w:color w:val="FFFFFF" w:themeColor="background1"/>
              </w:rPr>
              <w:t>Unidades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FBC0A7" w14:textId="77777777" w:rsidR="004868B2" w:rsidRPr="00257DB1" w:rsidRDefault="004868B2" w:rsidP="00273333">
            <w:pPr>
              <w:spacing w:before="240"/>
              <w:ind w:left="851"/>
              <w:jc w:val="center"/>
              <w:rPr>
                <w:rFonts w:eastAsia="Calibri"/>
                <w:b/>
                <w:color w:val="FFFFFF" w:themeColor="background1"/>
              </w:rPr>
            </w:pPr>
            <w:r w:rsidRPr="00257DB1">
              <w:rPr>
                <w:rFonts w:eastAsia="Calibri"/>
                <w:b/>
                <w:color w:val="FFFFFF" w:themeColor="background1"/>
              </w:rPr>
              <w:t>Monto en Pesos</w:t>
            </w:r>
          </w:p>
        </w:tc>
      </w:tr>
      <w:tr w:rsidR="004868B2" w:rsidRPr="005470CB" w14:paraId="3FF7DB36" w14:textId="77777777" w:rsidTr="00986C4B">
        <w:trPr>
          <w:trHeight w:val="770"/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30C80E" w14:textId="77777777" w:rsidR="004868B2" w:rsidRPr="005470CB" w:rsidRDefault="004868B2" w:rsidP="00257DB1">
            <w:pPr>
              <w:spacing w:before="240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Apoyo a películas para participación en festivales internacionales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77AFE8" w14:textId="77777777" w:rsidR="004868B2" w:rsidRPr="005470CB" w:rsidRDefault="004868B2" w:rsidP="00273333">
            <w:pPr>
              <w:spacing w:before="240"/>
              <w:ind w:left="851"/>
              <w:jc w:val="center"/>
              <w:rPr>
                <w:rFonts w:eastAsia="Calibri"/>
              </w:rPr>
            </w:pPr>
            <w:r w:rsidRPr="005470CB"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423A1" w14:textId="77777777" w:rsidR="004868B2" w:rsidRPr="005470CB" w:rsidRDefault="004868B2" w:rsidP="00273333">
            <w:pPr>
              <w:spacing w:before="24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 xml:space="preserve">      $1.409.381,40</w:t>
            </w:r>
          </w:p>
        </w:tc>
      </w:tr>
      <w:tr w:rsidR="004868B2" w:rsidRPr="005470CB" w14:paraId="3633C7F3" w14:textId="77777777" w:rsidTr="00986C4B">
        <w:trPr>
          <w:trHeight w:val="25"/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A18D0C" w14:textId="77777777" w:rsidR="004868B2" w:rsidRPr="005470CB" w:rsidRDefault="004868B2" w:rsidP="00257DB1">
            <w:pPr>
              <w:spacing w:before="240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Campañas publicitarias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ACC473" w14:textId="77777777" w:rsidR="004868B2" w:rsidRPr="005470CB" w:rsidRDefault="004868B2" w:rsidP="00273333">
            <w:pPr>
              <w:spacing w:before="240"/>
              <w:ind w:left="851"/>
              <w:jc w:val="center"/>
              <w:rPr>
                <w:rFonts w:eastAsia="Calibri"/>
              </w:rPr>
            </w:pPr>
            <w:r w:rsidRPr="005470C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F9475E" w14:textId="00F8FAAE" w:rsidR="004868B2" w:rsidRPr="005470CB" w:rsidRDefault="004868B2" w:rsidP="00273333">
            <w:pPr>
              <w:spacing w:before="24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 xml:space="preserve">          $41.745,00</w:t>
            </w:r>
          </w:p>
        </w:tc>
      </w:tr>
      <w:tr w:rsidR="004868B2" w:rsidRPr="005470CB" w14:paraId="41A30CD4" w14:textId="77777777" w:rsidTr="009929EC">
        <w:trPr>
          <w:trHeight w:val="25"/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8A9735" w14:textId="77777777" w:rsidR="004868B2" w:rsidRPr="005470CB" w:rsidRDefault="004868B2" w:rsidP="00257DB1">
            <w:pPr>
              <w:spacing w:before="240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Festivales Nacionales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D7B59B" w14:textId="77777777" w:rsidR="004868B2" w:rsidRPr="005470CB" w:rsidRDefault="004868B2" w:rsidP="00273333">
            <w:pPr>
              <w:spacing w:before="240"/>
              <w:ind w:left="851"/>
              <w:jc w:val="center"/>
              <w:rPr>
                <w:rFonts w:eastAsia="Calibri"/>
              </w:rPr>
            </w:pPr>
            <w:r w:rsidRPr="005470CB">
              <w:rPr>
                <w:rFonts w:eastAsia="Calibri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5EBDC6" w14:textId="77777777" w:rsidR="004868B2" w:rsidRPr="005470CB" w:rsidRDefault="004868B2" w:rsidP="00273333">
            <w:pPr>
              <w:spacing w:before="24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 xml:space="preserve"> $4.977.000,00</w:t>
            </w:r>
          </w:p>
        </w:tc>
      </w:tr>
      <w:tr w:rsidR="004868B2" w:rsidRPr="005470CB" w14:paraId="56E1A673" w14:textId="77777777" w:rsidTr="009929EC">
        <w:trPr>
          <w:trHeight w:val="25"/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2FE7D3" w14:textId="77777777" w:rsidR="004868B2" w:rsidRPr="005470CB" w:rsidRDefault="004868B2" w:rsidP="00257DB1">
            <w:pPr>
              <w:spacing w:before="240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Cuota a las provincias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DD5614" w14:textId="77777777" w:rsidR="004868B2" w:rsidRPr="005470CB" w:rsidRDefault="004868B2" w:rsidP="00273333">
            <w:pPr>
              <w:spacing w:before="240"/>
              <w:ind w:left="851"/>
              <w:jc w:val="center"/>
              <w:rPr>
                <w:rFonts w:eastAsia="Calibri"/>
              </w:rPr>
            </w:pPr>
            <w:r w:rsidRPr="005470CB">
              <w:rPr>
                <w:rFonts w:eastAsia="Calibri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3C2199" w14:textId="77777777" w:rsidR="004868B2" w:rsidRPr="005470CB" w:rsidRDefault="004868B2" w:rsidP="00273333">
            <w:pPr>
              <w:spacing w:before="24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 xml:space="preserve">  $12.417.682,76</w:t>
            </w:r>
          </w:p>
        </w:tc>
      </w:tr>
      <w:tr w:rsidR="004868B2" w:rsidRPr="005470CB" w14:paraId="6CDC9B45" w14:textId="77777777" w:rsidTr="00986C4B">
        <w:trPr>
          <w:trHeight w:val="25"/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BB68A3" w14:textId="77777777" w:rsidR="004868B2" w:rsidRPr="005470CB" w:rsidRDefault="004868B2" w:rsidP="00257DB1">
            <w:pPr>
              <w:spacing w:before="240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VPF (*)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A0D69" w14:textId="77777777" w:rsidR="004868B2" w:rsidRPr="005470CB" w:rsidRDefault="004868B2" w:rsidP="00273333">
            <w:pPr>
              <w:spacing w:before="240"/>
              <w:ind w:left="851"/>
              <w:jc w:val="center"/>
              <w:rPr>
                <w:rFonts w:eastAsia="Calibri"/>
              </w:rPr>
            </w:pPr>
            <w:r w:rsidRPr="005470C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D1209B" w14:textId="77777777" w:rsidR="004868B2" w:rsidRPr="005470CB" w:rsidRDefault="004868B2" w:rsidP="00273333">
            <w:pPr>
              <w:spacing w:before="24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$ 4.046.846,00</w:t>
            </w:r>
          </w:p>
        </w:tc>
      </w:tr>
      <w:tr w:rsidR="004868B2" w:rsidRPr="005470CB" w14:paraId="5F9A2CC3" w14:textId="77777777" w:rsidTr="00986C4B">
        <w:trPr>
          <w:trHeight w:val="500"/>
          <w:jc w:val="center"/>
        </w:trPr>
        <w:tc>
          <w:tcPr>
            <w:tcW w:w="636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3D9269" w14:textId="77777777" w:rsidR="004868B2" w:rsidRPr="00986C4B" w:rsidRDefault="004868B2" w:rsidP="00257DB1">
            <w:pPr>
              <w:spacing w:before="240"/>
              <w:rPr>
                <w:rFonts w:eastAsia="Calibri"/>
                <w:b/>
                <w:color w:val="FFFFFF" w:themeColor="background1"/>
              </w:rPr>
            </w:pPr>
            <w:r w:rsidRPr="00986C4B">
              <w:rPr>
                <w:rFonts w:eastAsia="Calibri"/>
                <w:b/>
                <w:color w:val="FFFFFF" w:themeColor="background1"/>
              </w:rPr>
              <w:t>Total en pesos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26B928" w14:textId="77777777" w:rsidR="004868B2" w:rsidRPr="00986C4B" w:rsidRDefault="004868B2" w:rsidP="00273333">
            <w:pPr>
              <w:spacing w:before="240"/>
              <w:ind w:left="851"/>
              <w:jc w:val="right"/>
              <w:rPr>
                <w:rFonts w:eastAsia="Calibri"/>
                <w:b/>
                <w:color w:val="FFFFFF" w:themeColor="background1"/>
              </w:rPr>
            </w:pPr>
            <w:r w:rsidRPr="00986C4B">
              <w:rPr>
                <w:rFonts w:eastAsia="Calibri"/>
                <w:b/>
                <w:color w:val="FFFFFF" w:themeColor="background1"/>
              </w:rPr>
              <w:t>$ 22.892.655,16</w:t>
            </w:r>
          </w:p>
        </w:tc>
      </w:tr>
    </w:tbl>
    <w:p w14:paraId="38B430FF" w14:textId="77777777" w:rsidR="004868B2" w:rsidRPr="00257DB1" w:rsidRDefault="004868B2" w:rsidP="00273333">
      <w:pPr>
        <w:shd w:val="clear" w:color="auto" w:fill="FFFFFF"/>
        <w:spacing w:before="240"/>
        <w:ind w:left="851"/>
        <w:jc w:val="both"/>
        <w:rPr>
          <w:rFonts w:eastAsia="Calibri"/>
          <w:b/>
        </w:rPr>
      </w:pPr>
      <w:r w:rsidRPr="00257DB1">
        <w:rPr>
          <w:rFonts w:eastAsia="Calibri"/>
        </w:rPr>
        <w:t xml:space="preserve">(*) VPF (Virtual </w:t>
      </w:r>
      <w:proofErr w:type="spellStart"/>
      <w:r w:rsidRPr="00257DB1">
        <w:rPr>
          <w:rFonts w:eastAsia="Calibri"/>
        </w:rPr>
        <w:t>Print</w:t>
      </w:r>
      <w:proofErr w:type="spellEnd"/>
      <w:r w:rsidRPr="00257DB1">
        <w:rPr>
          <w:rFonts w:eastAsia="Calibri"/>
        </w:rPr>
        <w:t xml:space="preserve"> Fee) es una tarifa por copia digital que las empresas distribuidoras y proveedores de contenidos deben pagar a las salas cada vez que colocan una copia de su película.</w:t>
      </w:r>
    </w:p>
    <w:p w14:paraId="73C87FA6" w14:textId="77777777" w:rsidR="004868B2" w:rsidRPr="00257DB1" w:rsidRDefault="004868B2" w:rsidP="00273333">
      <w:pPr>
        <w:shd w:val="clear" w:color="auto" w:fill="FFFFFF"/>
        <w:spacing w:before="240"/>
        <w:ind w:left="851"/>
        <w:jc w:val="both"/>
        <w:rPr>
          <w:rFonts w:eastAsia="Calibri"/>
        </w:rPr>
      </w:pPr>
      <w:r w:rsidRPr="00D03009">
        <w:rPr>
          <w:b/>
          <w:color w:val="2B3183"/>
          <w:lang w:val="es-AR"/>
        </w:rPr>
        <w:t>Fuente:</w:t>
      </w:r>
      <w:r w:rsidRPr="00257DB1">
        <w:rPr>
          <w:rFonts w:eastAsia="Calibri"/>
        </w:rPr>
        <w:t xml:space="preserve"> INCAA - Coordinación de Planificación Presupuestaria y Financiera</w:t>
      </w:r>
    </w:p>
    <w:p w14:paraId="2497C667" w14:textId="77777777" w:rsidR="00D03009" w:rsidRDefault="00D03009">
      <w:pPr>
        <w:rPr>
          <w:b/>
          <w:color w:val="2B3183"/>
          <w:sz w:val="40"/>
          <w:szCs w:val="40"/>
          <w:lang w:val="es-AR"/>
        </w:rPr>
      </w:pPr>
      <w:r>
        <w:rPr>
          <w:b/>
          <w:color w:val="2B3183"/>
          <w:sz w:val="40"/>
          <w:szCs w:val="40"/>
          <w:lang w:val="es-AR"/>
        </w:rPr>
        <w:br w:type="page"/>
      </w:r>
    </w:p>
    <w:p w14:paraId="6DD5FB6A" w14:textId="564EB58D" w:rsidR="004868B2" w:rsidRPr="004D11F2" w:rsidRDefault="00D03009" w:rsidP="004D11F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8" w:name="_Toc109038265"/>
      <w:r w:rsidRPr="004D11F2">
        <w:rPr>
          <w:b/>
          <w:color w:val="2B3183"/>
          <w:sz w:val="48"/>
          <w:szCs w:val="48"/>
          <w:lang w:val="es-AR"/>
        </w:rPr>
        <w:lastRenderedPageBreak/>
        <w:t>Presentación de proyectos a través de la ventanilla única electrónica del INCAA</w:t>
      </w:r>
      <w:bookmarkEnd w:id="8"/>
    </w:p>
    <w:p w14:paraId="451AF1F1" w14:textId="7252A092" w:rsidR="004868B2" w:rsidRPr="00D03009" w:rsidRDefault="004868B2" w:rsidP="00273333">
      <w:pPr>
        <w:spacing w:before="240" w:after="240"/>
        <w:ind w:left="851"/>
        <w:rPr>
          <w:rFonts w:eastAsia="Calibri"/>
          <w:bCs/>
          <w:sz w:val="24"/>
          <w:szCs w:val="24"/>
        </w:rPr>
      </w:pPr>
      <w:r w:rsidRPr="00D03009">
        <w:rPr>
          <w:rFonts w:eastAsia="Calibri"/>
          <w:bCs/>
          <w:sz w:val="24"/>
          <w:szCs w:val="24"/>
        </w:rPr>
        <w:t>En este gráfico se puede ver la evolución de las presentaciones de trámites de Inicio de rodaje, Inicio de posproducción y Fin de rodaje en ventanilla única</w:t>
      </w:r>
      <w:r w:rsidR="00D03009">
        <w:rPr>
          <w:rFonts w:eastAsia="Calibri"/>
          <w:bCs/>
          <w:sz w:val="24"/>
          <w:szCs w:val="24"/>
        </w:rPr>
        <w:t>:</w:t>
      </w:r>
    </w:p>
    <w:p w14:paraId="35C07BB3" w14:textId="64598791" w:rsidR="004868B2" w:rsidRPr="005470CB" w:rsidRDefault="00A50CAB" w:rsidP="00A50CAB">
      <w:pPr>
        <w:spacing w:before="240" w:after="240"/>
        <w:ind w:left="851"/>
        <w:jc w:val="center"/>
        <w:rPr>
          <w:rFonts w:eastAsia="Calibri"/>
          <w:shd w:val="clear" w:color="auto" w:fill="FF9900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B507F1C" wp14:editId="34F92E98">
            <wp:extent cx="5760040" cy="3377565"/>
            <wp:effectExtent l="0" t="0" r="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23" cy="33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5101" w14:textId="359C1233" w:rsidR="004868B2" w:rsidRPr="00D03009" w:rsidRDefault="004868B2" w:rsidP="00273333">
      <w:pPr>
        <w:spacing w:before="240" w:after="240"/>
        <w:ind w:left="851"/>
        <w:rPr>
          <w:b/>
          <w:color w:val="2B3183"/>
          <w:sz w:val="24"/>
          <w:szCs w:val="24"/>
          <w:lang w:val="es-AR"/>
        </w:rPr>
      </w:pPr>
      <w:r w:rsidRPr="00D03009">
        <w:rPr>
          <w:b/>
          <w:color w:val="2B3183"/>
          <w:sz w:val="24"/>
          <w:szCs w:val="24"/>
          <w:lang w:val="es-AR"/>
        </w:rPr>
        <w:t>Trámites aprobados comparación 2020 - 2021</w:t>
      </w:r>
    </w:p>
    <w:tbl>
      <w:tblPr>
        <w:tblW w:w="7645" w:type="dxa"/>
        <w:tblInd w:w="2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2268"/>
        <w:gridCol w:w="2126"/>
      </w:tblGrid>
      <w:tr w:rsidR="004868B2" w:rsidRPr="005470CB" w14:paraId="1371A470" w14:textId="77777777" w:rsidTr="009929EC">
        <w:tc>
          <w:tcPr>
            <w:tcW w:w="3251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5812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Trámite</w:t>
            </w:r>
          </w:p>
        </w:tc>
        <w:tc>
          <w:tcPr>
            <w:tcW w:w="2268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9A09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Aprobados 2021</w:t>
            </w:r>
          </w:p>
        </w:tc>
        <w:tc>
          <w:tcPr>
            <w:tcW w:w="2126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098A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</w:rPr>
            </w:pPr>
            <w:r w:rsidRPr="005470CB">
              <w:rPr>
                <w:rFonts w:eastAsia="Calibri"/>
                <w:b/>
              </w:rPr>
              <w:t>Aprobados 2020</w:t>
            </w:r>
          </w:p>
        </w:tc>
      </w:tr>
      <w:tr w:rsidR="004868B2" w:rsidRPr="005470CB" w14:paraId="3B6DB25B" w14:textId="77777777" w:rsidTr="009929EC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2419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5470CB">
              <w:rPr>
                <w:rFonts w:eastAsia="Calibri"/>
              </w:rPr>
              <w:t>INICIO DE RODAJE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8A87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187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46C4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83</w:t>
            </w:r>
          </w:p>
        </w:tc>
      </w:tr>
      <w:tr w:rsidR="004868B2" w:rsidRPr="005470CB" w14:paraId="1ACE2466" w14:textId="77777777" w:rsidTr="009929EC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2F23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5470CB">
              <w:rPr>
                <w:rFonts w:eastAsia="Calibri"/>
              </w:rPr>
              <w:t>FIN DE RODAJE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4900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57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56F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50</w:t>
            </w:r>
          </w:p>
        </w:tc>
      </w:tr>
      <w:tr w:rsidR="004868B2" w:rsidRPr="005470CB" w14:paraId="1990A5D1" w14:textId="77777777" w:rsidTr="009929EC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250F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5470CB">
              <w:rPr>
                <w:rFonts w:eastAsia="Calibri"/>
              </w:rPr>
              <w:t>INICIO POSTPRODUCCIÓN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9FA5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101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45B3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61</w:t>
            </w:r>
          </w:p>
        </w:tc>
      </w:tr>
      <w:tr w:rsidR="004868B2" w:rsidRPr="005470CB" w14:paraId="66F59591" w14:textId="77777777" w:rsidTr="009929EC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08D5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5470CB">
              <w:rPr>
                <w:rFonts w:eastAsia="Calibri"/>
              </w:rPr>
              <w:t>TEASER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BF46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18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CFD9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30</w:t>
            </w:r>
          </w:p>
        </w:tc>
      </w:tr>
      <w:tr w:rsidR="004868B2" w:rsidRPr="005470CB" w14:paraId="009B0F42" w14:textId="77777777" w:rsidTr="009929EC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BE6E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5470CB">
              <w:rPr>
                <w:rFonts w:eastAsia="Calibri"/>
              </w:rPr>
              <w:t>MASTER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6B3C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10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BE93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13</w:t>
            </w:r>
          </w:p>
        </w:tc>
      </w:tr>
      <w:tr w:rsidR="004868B2" w:rsidRPr="005470CB" w14:paraId="211A65C7" w14:textId="77777777" w:rsidTr="009929EC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0236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5470CB">
              <w:rPr>
                <w:rFonts w:eastAsia="Calibri"/>
              </w:rPr>
              <w:t>COPIA A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A409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185*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F172" w14:textId="77777777" w:rsidR="004868B2" w:rsidRPr="005470CB" w:rsidRDefault="004868B2" w:rsidP="00D0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106</w:t>
            </w:r>
          </w:p>
        </w:tc>
      </w:tr>
    </w:tbl>
    <w:p w14:paraId="0E593EEA" w14:textId="77777777" w:rsidR="00D03009" w:rsidRDefault="004868B2" w:rsidP="002733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/>
        <w:rPr>
          <w:rFonts w:eastAsia="Calibri"/>
          <w:sz w:val="20"/>
          <w:szCs w:val="20"/>
        </w:rPr>
      </w:pPr>
      <w:r w:rsidRPr="005470CB">
        <w:rPr>
          <w:rFonts w:eastAsia="Calibri"/>
          <w:sz w:val="20"/>
          <w:szCs w:val="20"/>
        </w:rPr>
        <w:t xml:space="preserve">*Cuatro con observaciones. </w:t>
      </w:r>
    </w:p>
    <w:p w14:paraId="0CBF4216" w14:textId="64EA5F5C" w:rsidR="004868B2" w:rsidRPr="005470CB" w:rsidRDefault="004868B2" w:rsidP="002733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/>
        <w:rPr>
          <w:rFonts w:eastAsia="Calibri"/>
          <w:sz w:val="20"/>
          <w:szCs w:val="20"/>
        </w:rPr>
      </w:pPr>
      <w:r w:rsidRPr="00D03009">
        <w:rPr>
          <w:b/>
          <w:color w:val="2B3183"/>
          <w:lang w:val="es-AR"/>
        </w:rPr>
        <w:t>Fuente:</w:t>
      </w:r>
      <w:r w:rsidRPr="005470CB">
        <w:rPr>
          <w:rFonts w:eastAsia="Calibri"/>
          <w:sz w:val="20"/>
          <w:szCs w:val="20"/>
        </w:rPr>
        <w:t xml:space="preserve"> INCAA, Ventanilla Única Audiovisual, 19/01/2022.</w:t>
      </w:r>
    </w:p>
    <w:p w14:paraId="205701B6" w14:textId="59ABEC55" w:rsidR="004868B2" w:rsidRPr="004D11F2" w:rsidRDefault="00D03009" w:rsidP="004D11F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9" w:name="_Toc109038266"/>
      <w:r w:rsidRPr="004D11F2">
        <w:rPr>
          <w:b/>
          <w:color w:val="2B3183"/>
          <w:sz w:val="48"/>
          <w:szCs w:val="48"/>
          <w:lang w:val="es-AR"/>
        </w:rPr>
        <w:lastRenderedPageBreak/>
        <w:t>Fondo de asistencia para la reactivación de rodajes</w:t>
      </w:r>
      <w:bookmarkEnd w:id="9"/>
    </w:p>
    <w:p w14:paraId="44E9740A" w14:textId="77777777" w:rsidR="004868B2" w:rsidRPr="00D03009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D03009">
        <w:rPr>
          <w:rFonts w:eastAsia="Calibri"/>
          <w:sz w:val="24"/>
          <w:szCs w:val="24"/>
        </w:rPr>
        <w:t xml:space="preserve">El Fondo consiste en un </w:t>
      </w:r>
      <w:r w:rsidRPr="00D03009">
        <w:rPr>
          <w:rFonts w:eastAsia="Calibri"/>
          <w:b/>
          <w:sz w:val="24"/>
          <w:szCs w:val="24"/>
        </w:rPr>
        <w:t>presupuesto de mil cien millones de pesos ($1.100.000.000), creado a través de una resolución INCAA 86-E/2021, Actualizado y ampliado mediante resolución INCAA 533-E/2021, “</w:t>
      </w:r>
      <w:r w:rsidRPr="00D03009">
        <w:rPr>
          <w:rFonts w:eastAsia="Calibri"/>
          <w:b/>
          <w:i/>
          <w:sz w:val="24"/>
          <w:szCs w:val="24"/>
        </w:rPr>
        <w:t>exclusivamente destinado a asistir a la producción de películas nacionales de cualquier género o presupuesto</w:t>
      </w:r>
      <w:r w:rsidRPr="00D03009">
        <w:rPr>
          <w:rFonts w:eastAsia="Calibri"/>
          <w:b/>
          <w:sz w:val="24"/>
          <w:szCs w:val="24"/>
        </w:rPr>
        <w:t>” cuyas preproducciones o rodajes se hayan iniciado a partir del 1º de enero de 2021 o se inicien antes del 30 de Junio de 2021.</w:t>
      </w:r>
      <w:r w:rsidRPr="00D03009">
        <w:rPr>
          <w:rFonts w:eastAsia="Calibri"/>
          <w:sz w:val="24"/>
          <w:szCs w:val="24"/>
        </w:rPr>
        <w:t xml:space="preserve"> Esta ayuda consiste en adelantos a cuenta de subsidios de hasta el 50% del presupuesto aprobado con máximos en la primera etapa de 12 millones de pesos para las animaciones, 10 millones para las ficciones y 5 millones para los documentales; en la segunda etapa, de 15 millones de pesos para las animaciones, 12 millones para las ficciones y 6 millones para los documentales. Pueden acceder a este beneficio todas las producciones declaradas de interés o ganadoras de concursos o convocatorias del INCAA.</w:t>
      </w:r>
    </w:p>
    <w:p w14:paraId="4B158411" w14:textId="77777777" w:rsidR="004868B2" w:rsidRPr="00D03009" w:rsidRDefault="004868B2" w:rsidP="00273333">
      <w:pPr>
        <w:spacing w:before="240" w:after="240"/>
        <w:ind w:left="851"/>
        <w:jc w:val="both"/>
        <w:rPr>
          <w:rFonts w:eastAsia="Calibri"/>
          <w:b/>
          <w:sz w:val="24"/>
          <w:szCs w:val="24"/>
        </w:rPr>
      </w:pPr>
      <w:r w:rsidRPr="00D03009">
        <w:rPr>
          <w:rFonts w:eastAsia="Calibri"/>
          <w:sz w:val="24"/>
          <w:szCs w:val="24"/>
        </w:rPr>
        <w:t>En total, se presentaron 123 solicitudes de asistencia para la reactivación de rodajes (81 Proyectos de Ficción, 38 de Género Documental y 4 de Animación)</w:t>
      </w:r>
      <w:r w:rsidRPr="00D03009">
        <w:rPr>
          <w:rFonts w:eastAsia="Calibri"/>
          <w:b/>
          <w:sz w:val="24"/>
          <w:szCs w:val="24"/>
        </w:rPr>
        <w:t xml:space="preserve">. Se otorgó asistencia por un monto de $1.077.213.081,32.  </w:t>
      </w:r>
      <w:r w:rsidRPr="00D03009">
        <w:rPr>
          <w:rFonts w:eastAsia="Calibri"/>
          <w:sz w:val="24"/>
          <w:szCs w:val="24"/>
        </w:rPr>
        <w:t xml:space="preserve">En términos de ejecución, lo gastado por el Fondo representa un 97,93% de su presupuesto, lo que deja un saldo total a la fecha de $22.786.918,68 para seguir rehabilitando rodajes. </w:t>
      </w:r>
    </w:p>
    <w:p w14:paraId="13785140" w14:textId="77777777" w:rsidR="004868B2" w:rsidRPr="00D03009" w:rsidRDefault="004868B2" w:rsidP="00273333">
      <w:pPr>
        <w:spacing w:before="240" w:after="240"/>
        <w:ind w:left="851"/>
        <w:jc w:val="center"/>
        <w:rPr>
          <w:rFonts w:eastAsia="Calibri"/>
          <w:b/>
          <w:sz w:val="24"/>
          <w:szCs w:val="24"/>
        </w:rPr>
      </w:pPr>
    </w:p>
    <w:p w14:paraId="02F39F3E" w14:textId="77777777" w:rsidR="009929EC" w:rsidRDefault="009929EC">
      <w:pPr>
        <w:rPr>
          <w:b/>
          <w:color w:val="2B3183"/>
          <w:sz w:val="40"/>
          <w:szCs w:val="40"/>
          <w:lang w:val="es-AR"/>
        </w:rPr>
      </w:pPr>
      <w:r>
        <w:rPr>
          <w:b/>
          <w:color w:val="2B3183"/>
          <w:sz w:val="40"/>
          <w:szCs w:val="40"/>
          <w:lang w:val="es-AR"/>
        </w:rPr>
        <w:br w:type="page"/>
      </w:r>
    </w:p>
    <w:p w14:paraId="09D1CC42" w14:textId="60539E7A" w:rsidR="004868B2" w:rsidRPr="004D11F2" w:rsidRDefault="00D03009" w:rsidP="004D11F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10" w:name="_Toc109038267"/>
      <w:r w:rsidRPr="004D11F2">
        <w:rPr>
          <w:b/>
          <w:color w:val="2B3183"/>
          <w:sz w:val="48"/>
          <w:szCs w:val="48"/>
          <w:lang w:val="es-AR"/>
        </w:rPr>
        <w:lastRenderedPageBreak/>
        <w:t>Perspectiva federal</w:t>
      </w:r>
      <w:bookmarkEnd w:id="10"/>
    </w:p>
    <w:p w14:paraId="5095C8CE" w14:textId="77777777" w:rsidR="004868B2" w:rsidRPr="00D03009" w:rsidRDefault="004868B2" w:rsidP="00273333">
      <w:pPr>
        <w:spacing w:before="240" w:after="240"/>
        <w:ind w:left="851"/>
        <w:jc w:val="both"/>
        <w:rPr>
          <w:rFonts w:eastAsia="Calibri"/>
          <w:b/>
          <w:sz w:val="24"/>
          <w:szCs w:val="24"/>
        </w:rPr>
      </w:pPr>
      <w:r w:rsidRPr="00D03009">
        <w:rPr>
          <w:rFonts w:eastAsia="Calibri"/>
          <w:sz w:val="24"/>
          <w:szCs w:val="24"/>
        </w:rPr>
        <w:t>Una mirada de la perspectiva federal arroja la imagen histórica de concentración en la Ciudad de Buenos Aires, que acaparó un 85,61% de los proyectos apoyados para la reactivación de rodaje, muy lejos de los siguientes, Córdoba (3,60%), Buenos Aires y Santa Fe (2,16%).</w:t>
      </w:r>
    </w:p>
    <w:p w14:paraId="3182A6B6" w14:textId="77777777" w:rsidR="004D11F2" w:rsidRDefault="004868B2" w:rsidP="004D11F2">
      <w:pPr>
        <w:ind w:left="851"/>
        <w:rPr>
          <w:b/>
          <w:color w:val="2B3183"/>
          <w:sz w:val="24"/>
          <w:szCs w:val="24"/>
          <w:lang w:val="es-AR"/>
        </w:rPr>
      </w:pPr>
      <w:r w:rsidRPr="009929EC">
        <w:rPr>
          <w:b/>
          <w:color w:val="2B3183"/>
          <w:sz w:val="24"/>
          <w:szCs w:val="24"/>
          <w:lang w:val="es-AR"/>
        </w:rPr>
        <w:t>FONDO DE ASISTENCIA PARA LA REACTIVACIÓN DE RODAJES</w:t>
      </w:r>
    </w:p>
    <w:p w14:paraId="1D4575F5" w14:textId="5C0C6262" w:rsidR="004868B2" w:rsidRDefault="004868B2" w:rsidP="004D11F2">
      <w:pPr>
        <w:ind w:left="851"/>
        <w:rPr>
          <w:b/>
          <w:color w:val="2B3183"/>
          <w:sz w:val="24"/>
          <w:szCs w:val="24"/>
          <w:lang w:val="es-AR"/>
        </w:rPr>
      </w:pPr>
      <w:r w:rsidRPr="009929EC">
        <w:rPr>
          <w:b/>
          <w:color w:val="2B3183"/>
          <w:sz w:val="24"/>
          <w:szCs w:val="24"/>
          <w:lang w:val="es-AR"/>
        </w:rPr>
        <w:t>Distribución por provincia de los proyectos que solicitan el subsidio</w:t>
      </w:r>
    </w:p>
    <w:p w14:paraId="62273FB0" w14:textId="16C326F8" w:rsidR="004D11F2" w:rsidRDefault="004D11F2" w:rsidP="004D11F2">
      <w:pPr>
        <w:ind w:left="851"/>
        <w:rPr>
          <w:b/>
          <w:color w:val="2B3183"/>
          <w:sz w:val="24"/>
          <w:szCs w:val="24"/>
          <w:lang w:val="es-AR"/>
        </w:rPr>
      </w:pPr>
    </w:p>
    <w:p w14:paraId="57BABE60" w14:textId="77777777" w:rsidR="004D11F2" w:rsidRPr="009929EC" w:rsidRDefault="004D11F2" w:rsidP="004D11F2">
      <w:pPr>
        <w:ind w:left="851"/>
        <w:rPr>
          <w:b/>
          <w:color w:val="2B3183"/>
          <w:sz w:val="24"/>
          <w:szCs w:val="24"/>
          <w:lang w:val="es-AR"/>
        </w:rPr>
      </w:pPr>
    </w:p>
    <w:tbl>
      <w:tblPr>
        <w:tblW w:w="6926" w:type="dxa"/>
        <w:tblInd w:w="2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1"/>
        <w:gridCol w:w="2552"/>
        <w:gridCol w:w="1843"/>
      </w:tblGrid>
      <w:tr w:rsidR="004868B2" w:rsidRPr="004D11F2" w14:paraId="5D9DBA98" w14:textId="77777777" w:rsidTr="009929EC">
        <w:trPr>
          <w:trHeight w:val="23"/>
        </w:trPr>
        <w:tc>
          <w:tcPr>
            <w:tcW w:w="2531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9CB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D11F2">
              <w:rPr>
                <w:b/>
              </w:rPr>
              <w:t>Provincia</w:t>
            </w:r>
          </w:p>
        </w:tc>
        <w:tc>
          <w:tcPr>
            <w:tcW w:w="2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A6A7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/>
              </w:rPr>
            </w:pPr>
            <w:r w:rsidRPr="004D11F2">
              <w:rPr>
                <w:b/>
              </w:rPr>
              <w:t>Cantidad</w:t>
            </w:r>
          </w:p>
        </w:tc>
        <w:tc>
          <w:tcPr>
            <w:tcW w:w="1843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4091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/>
              </w:rPr>
            </w:pPr>
            <w:r w:rsidRPr="004D11F2">
              <w:rPr>
                <w:b/>
              </w:rPr>
              <w:t>%</w:t>
            </w:r>
          </w:p>
          <w:p w14:paraId="6E6CC3BA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/>
              </w:rPr>
            </w:pPr>
          </w:p>
        </w:tc>
      </w:tr>
      <w:tr w:rsidR="004868B2" w:rsidRPr="004D11F2" w14:paraId="2703B8A6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3529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C.A.B.A.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147F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105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4B97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85,37%</w:t>
            </w:r>
          </w:p>
        </w:tc>
      </w:tr>
      <w:tr w:rsidR="004868B2" w:rsidRPr="004D11F2" w14:paraId="5C89BFDA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7525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CÓRDOBA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F92A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893D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4,07%</w:t>
            </w:r>
          </w:p>
        </w:tc>
      </w:tr>
      <w:tr w:rsidR="004868B2" w:rsidRPr="004D11F2" w14:paraId="63DE2C33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EE1B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BUENOS AIRES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4878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E215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2,44%</w:t>
            </w:r>
          </w:p>
        </w:tc>
      </w:tr>
      <w:tr w:rsidR="004868B2" w:rsidRPr="004D11F2" w14:paraId="2C45041F" w14:textId="77777777" w:rsidTr="009929EC">
        <w:trPr>
          <w:trHeight w:val="221"/>
        </w:trPr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8202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MENDOZA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A1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3787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2,44%</w:t>
            </w:r>
          </w:p>
        </w:tc>
      </w:tr>
      <w:tr w:rsidR="004868B2" w:rsidRPr="004D11F2" w14:paraId="1AB61F47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D713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SANTA FE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EE7C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EB2E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2,44%</w:t>
            </w:r>
          </w:p>
        </w:tc>
      </w:tr>
      <w:tr w:rsidR="004868B2" w:rsidRPr="004D11F2" w14:paraId="7D79835F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98EB" w14:textId="14DD7C1F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R</w:t>
            </w:r>
            <w:r w:rsidR="009929EC" w:rsidRPr="004D11F2">
              <w:rPr>
                <w:b/>
              </w:rPr>
              <w:t>Í</w:t>
            </w:r>
            <w:r w:rsidRPr="004D11F2">
              <w:rPr>
                <w:b/>
              </w:rPr>
              <w:t>O NEGRO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5D10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2C04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1,63%</w:t>
            </w:r>
          </w:p>
        </w:tc>
      </w:tr>
      <w:tr w:rsidR="004868B2" w:rsidRPr="004D11F2" w14:paraId="500DA2C0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BF42" w14:textId="5D589E75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ENTRE R</w:t>
            </w:r>
            <w:r w:rsidR="009929EC" w:rsidRPr="004D11F2">
              <w:rPr>
                <w:b/>
              </w:rPr>
              <w:t>Í</w:t>
            </w:r>
            <w:r w:rsidRPr="004D11F2">
              <w:rPr>
                <w:b/>
              </w:rPr>
              <w:t>OS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289B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B625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0,81%</w:t>
            </w:r>
          </w:p>
        </w:tc>
      </w:tr>
      <w:tr w:rsidR="004868B2" w:rsidRPr="004D11F2" w14:paraId="180FCB76" w14:textId="77777777" w:rsidTr="009929EC">
        <w:tc>
          <w:tcPr>
            <w:tcW w:w="25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7C83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MISIONES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827B" w14:textId="77777777" w:rsidR="004868B2" w:rsidRPr="004D11F2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A12A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0,81%</w:t>
            </w:r>
          </w:p>
        </w:tc>
      </w:tr>
      <w:tr w:rsidR="004868B2" w:rsidRPr="004D11F2" w14:paraId="050C6813" w14:textId="77777777" w:rsidTr="009929EC">
        <w:tc>
          <w:tcPr>
            <w:tcW w:w="2531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2371" w14:textId="77777777" w:rsidR="004868B2" w:rsidRPr="004D11F2" w:rsidRDefault="004868B2" w:rsidP="009929EC">
            <w:pPr>
              <w:widowControl w:val="0"/>
              <w:spacing w:line="240" w:lineRule="auto"/>
              <w:rPr>
                <w:b/>
              </w:rPr>
            </w:pPr>
            <w:r w:rsidRPr="004D11F2">
              <w:rPr>
                <w:b/>
              </w:rPr>
              <w:t>TOTAL</w:t>
            </w:r>
          </w:p>
        </w:tc>
        <w:tc>
          <w:tcPr>
            <w:tcW w:w="255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7B04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123</w:t>
            </w:r>
          </w:p>
        </w:tc>
        <w:tc>
          <w:tcPr>
            <w:tcW w:w="1843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47E8" w14:textId="77777777" w:rsidR="004868B2" w:rsidRPr="004D11F2" w:rsidRDefault="004868B2" w:rsidP="009929EC">
            <w:pPr>
              <w:widowControl w:val="0"/>
              <w:spacing w:line="240" w:lineRule="auto"/>
              <w:ind w:left="851"/>
              <w:jc w:val="right"/>
              <w:rPr>
                <w:bCs/>
              </w:rPr>
            </w:pPr>
            <w:r w:rsidRPr="004D11F2">
              <w:rPr>
                <w:bCs/>
              </w:rPr>
              <w:t>100%</w:t>
            </w:r>
          </w:p>
        </w:tc>
      </w:tr>
    </w:tbl>
    <w:p w14:paraId="0F8A7E75" w14:textId="77777777" w:rsidR="009929EC" w:rsidRDefault="009929EC" w:rsidP="009929EC">
      <w:pPr>
        <w:pStyle w:val="Ttulo2"/>
        <w:ind w:left="850"/>
        <w:rPr>
          <w:b/>
          <w:color w:val="2B3183"/>
          <w:sz w:val="40"/>
          <w:szCs w:val="40"/>
          <w:lang w:val="es-AR"/>
        </w:rPr>
      </w:pPr>
    </w:p>
    <w:p w14:paraId="65AA57C0" w14:textId="77777777" w:rsidR="009929EC" w:rsidRDefault="009929EC">
      <w:pPr>
        <w:rPr>
          <w:b/>
          <w:color w:val="2B3183"/>
          <w:sz w:val="40"/>
          <w:szCs w:val="40"/>
          <w:lang w:val="es-AR"/>
        </w:rPr>
      </w:pPr>
      <w:r>
        <w:rPr>
          <w:b/>
          <w:color w:val="2B3183"/>
          <w:sz w:val="40"/>
          <w:szCs w:val="40"/>
          <w:lang w:val="es-AR"/>
        </w:rPr>
        <w:br w:type="page"/>
      </w:r>
    </w:p>
    <w:p w14:paraId="791C056C" w14:textId="4F21FB16" w:rsidR="009929EC" w:rsidRPr="004D11F2" w:rsidRDefault="009929EC" w:rsidP="004D11F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11" w:name="_Toc109038268"/>
      <w:r w:rsidRPr="004D11F2">
        <w:rPr>
          <w:b/>
          <w:color w:val="2B3183"/>
          <w:sz w:val="48"/>
          <w:szCs w:val="48"/>
          <w:lang w:val="es-AR"/>
        </w:rPr>
        <w:lastRenderedPageBreak/>
        <w:t>Coproducciones</w:t>
      </w:r>
      <w:bookmarkEnd w:id="11"/>
    </w:p>
    <w:p w14:paraId="0BEC1E5F" w14:textId="42DCB73C" w:rsidR="004868B2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9929EC">
        <w:rPr>
          <w:rFonts w:eastAsia="Calibri"/>
          <w:sz w:val="24"/>
          <w:szCs w:val="24"/>
        </w:rPr>
        <w:t>Otro rubro en el cual se observa una recuperación es en las coproducciones internacionales: en 2019 se habían reconocido 32, cifra que cayó a 10 en el primer año de la pandemia. En 2021, en cambio, se reconoció una cantidad superior incluso a la de la prepandemia: 43, lo cual denota que se reiniciaron las que habían sido aplazadas en 2020.</w:t>
      </w:r>
    </w:p>
    <w:p w14:paraId="286E5ACE" w14:textId="77777777" w:rsidR="004D11F2" w:rsidRPr="009929EC" w:rsidRDefault="004D11F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</w:p>
    <w:p w14:paraId="7C55D2FD" w14:textId="77777777" w:rsidR="004868B2" w:rsidRPr="005470CB" w:rsidRDefault="004868B2" w:rsidP="009929EC">
      <w:pPr>
        <w:spacing w:before="240" w:after="240"/>
        <w:ind w:left="851"/>
        <w:jc w:val="center"/>
        <w:rPr>
          <w:rFonts w:eastAsia="Calibri"/>
        </w:rPr>
      </w:pPr>
      <w:r w:rsidRPr="005470CB">
        <w:rPr>
          <w:rFonts w:eastAsia="Calibri"/>
          <w:noProof/>
        </w:rPr>
        <w:drawing>
          <wp:inline distT="114300" distB="114300" distL="114300" distR="114300" wp14:anchorId="02C96DEB" wp14:editId="048A917D">
            <wp:extent cx="5731200" cy="34544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8B9172" w14:textId="77777777" w:rsidR="009929EC" w:rsidRDefault="009929EC">
      <w:pPr>
        <w:rPr>
          <w:b/>
          <w:color w:val="2B3183"/>
          <w:sz w:val="40"/>
          <w:szCs w:val="40"/>
          <w:lang w:val="es-AR"/>
        </w:rPr>
      </w:pPr>
      <w:r>
        <w:rPr>
          <w:b/>
          <w:color w:val="2B3183"/>
          <w:sz w:val="40"/>
          <w:szCs w:val="40"/>
          <w:lang w:val="es-AR"/>
        </w:rPr>
        <w:br w:type="page"/>
      </w:r>
    </w:p>
    <w:p w14:paraId="038C21C2" w14:textId="02CC0940" w:rsidR="004868B2" w:rsidRPr="004D11F2" w:rsidRDefault="009929EC" w:rsidP="004D11F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12" w:name="_Toc109038269"/>
      <w:r w:rsidRPr="004D11F2">
        <w:rPr>
          <w:b/>
          <w:color w:val="2B3183"/>
          <w:sz w:val="48"/>
          <w:szCs w:val="48"/>
          <w:lang w:val="es-AR"/>
        </w:rPr>
        <w:lastRenderedPageBreak/>
        <w:t>Inicios de rodaje</w:t>
      </w:r>
      <w:bookmarkEnd w:id="12"/>
    </w:p>
    <w:p w14:paraId="31F7CE0B" w14:textId="77777777" w:rsidR="004868B2" w:rsidRPr="009929EC" w:rsidRDefault="004868B2" w:rsidP="00273333">
      <w:pPr>
        <w:spacing w:before="240" w:after="240"/>
        <w:ind w:left="851"/>
        <w:jc w:val="both"/>
        <w:rPr>
          <w:rFonts w:eastAsia="Calibri"/>
          <w:b/>
          <w:sz w:val="24"/>
          <w:szCs w:val="24"/>
        </w:rPr>
      </w:pPr>
      <w:r w:rsidRPr="009929EC">
        <w:rPr>
          <w:rFonts w:eastAsia="Calibri"/>
          <w:sz w:val="24"/>
          <w:szCs w:val="24"/>
        </w:rPr>
        <w:t xml:space="preserve">Una mirada a los inicios de rodaje relevados por el </w:t>
      </w:r>
      <w:r w:rsidRPr="009929EC">
        <w:rPr>
          <w:rFonts w:eastAsia="Calibri"/>
          <w:b/>
          <w:sz w:val="24"/>
          <w:szCs w:val="24"/>
        </w:rPr>
        <w:t>Sindicato de la Industria Cinematográfica Argentina (SICA) revela que la mayoría se dan en CABA (44,65%), seguida por provincia de Buenos Aires (22,79%), Córdoba (6,05%), Santa Fe (4,65%), Jujuy y Misiones (4,19), Río Negro (3,72) y Mendoza (2,79).</w:t>
      </w:r>
    </w:p>
    <w:tbl>
      <w:tblPr>
        <w:tblW w:w="9771" w:type="dxa"/>
        <w:tblInd w:w="1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1775"/>
        <w:gridCol w:w="2477"/>
      </w:tblGrid>
      <w:tr w:rsidR="004868B2" w:rsidRPr="005470CB" w14:paraId="28872684" w14:textId="77777777" w:rsidTr="004D11F2">
        <w:trPr>
          <w:trHeight w:val="3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492D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C.A.B.A.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FA44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96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860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44,65%</w:t>
            </w:r>
          </w:p>
        </w:tc>
      </w:tr>
      <w:tr w:rsidR="004868B2" w:rsidRPr="005470CB" w14:paraId="4FE319F5" w14:textId="77777777" w:rsidTr="004D11F2">
        <w:trPr>
          <w:trHeight w:val="193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4F0C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BUENOS AIRES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8EF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700A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22,79%</w:t>
            </w:r>
          </w:p>
        </w:tc>
      </w:tr>
      <w:tr w:rsidR="004868B2" w:rsidRPr="005470CB" w14:paraId="2757CEAA" w14:textId="77777777" w:rsidTr="004D11F2">
        <w:trPr>
          <w:trHeight w:val="114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9C2D" w14:textId="77777777" w:rsidR="004868B2" w:rsidRPr="005470CB" w:rsidRDefault="004868B2" w:rsidP="009929EC">
            <w:pPr>
              <w:widowControl w:val="0"/>
              <w:rPr>
                <w:rFonts w:eastAsia="Calibri"/>
              </w:rPr>
            </w:pPr>
            <w:r w:rsidRPr="005470CB">
              <w:rPr>
                <w:rFonts w:eastAsia="Calibri"/>
              </w:rPr>
              <w:t>CÓRDOBA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51D2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DF93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6,05%</w:t>
            </w:r>
          </w:p>
        </w:tc>
      </w:tr>
      <w:tr w:rsidR="004868B2" w:rsidRPr="005470CB" w14:paraId="1DBB2CEB" w14:textId="77777777" w:rsidTr="004D11F2">
        <w:trPr>
          <w:trHeight w:val="164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1570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SANTA FE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670C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10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E67E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4,65%</w:t>
            </w:r>
          </w:p>
        </w:tc>
      </w:tr>
      <w:tr w:rsidR="004868B2" w:rsidRPr="005470CB" w14:paraId="10575CA0" w14:textId="77777777" w:rsidTr="004D11F2">
        <w:trPr>
          <w:trHeight w:val="86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EF3D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JUJUY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D604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5602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4,19%</w:t>
            </w:r>
          </w:p>
        </w:tc>
      </w:tr>
      <w:tr w:rsidR="004868B2" w:rsidRPr="005470CB" w14:paraId="552AA9F7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2E0F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MISIONES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B74F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44F1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4,19%</w:t>
            </w:r>
          </w:p>
        </w:tc>
      </w:tr>
      <w:tr w:rsidR="004868B2" w:rsidRPr="005470CB" w14:paraId="53AF7B54" w14:textId="77777777" w:rsidTr="004D11F2">
        <w:trPr>
          <w:trHeight w:val="59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4F75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RÍO NEGRO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1677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8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C0B4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3,72%</w:t>
            </w:r>
          </w:p>
        </w:tc>
      </w:tr>
      <w:tr w:rsidR="004868B2" w:rsidRPr="005470CB" w14:paraId="615BE028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195D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MENDOZA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C214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312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2,79%</w:t>
            </w:r>
          </w:p>
        </w:tc>
      </w:tr>
      <w:tr w:rsidR="004868B2" w:rsidRPr="005470CB" w14:paraId="2C70CB06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3779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SALTA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E7BD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4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FBC6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1,86%</w:t>
            </w:r>
          </w:p>
        </w:tc>
      </w:tr>
      <w:tr w:rsidR="004868B2" w:rsidRPr="005470CB" w14:paraId="64D2C2DC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74D3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CHACO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C614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B7D2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0,93%</w:t>
            </w:r>
          </w:p>
        </w:tc>
      </w:tr>
      <w:tr w:rsidR="004868B2" w:rsidRPr="005470CB" w14:paraId="0182CC17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6E62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CORRIENTES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4DC3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1977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0,93%</w:t>
            </w:r>
          </w:p>
        </w:tc>
      </w:tr>
      <w:tr w:rsidR="004868B2" w:rsidRPr="005470CB" w14:paraId="7B2CE00F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4A60" w14:textId="77777777" w:rsidR="004868B2" w:rsidRPr="005470CB" w:rsidRDefault="004868B2" w:rsidP="009929EC">
            <w:pPr>
              <w:widowControl w:val="0"/>
              <w:rPr>
                <w:rFonts w:eastAsia="Calibri"/>
              </w:rPr>
            </w:pPr>
            <w:r w:rsidRPr="005470CB">
              <w:rPr>
                <w:rFonts w:eastAsia="Calibri"/>
              </w:rPr>
              <w:t>LA PAMPA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0B4F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B126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0,93%</w:t>
            </w:r>
          </w:p>
        </w:tc>
      </w:tr>
      <w:tr w:rsidR="004868B2" w:rsidRPr="005470CB" w14:paraId="18B543D4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96D0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NEUQUÉN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6AAD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42C4" w14:textId="77777777" w:rsidR="004868B2" w:rsidRPr="005470CB" w:rsidRDefault="004868B2" w:rsidP="004D11F2">
            <w:pPr>
              <w:widowControl w:val="0"/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0,93%</w:t>
            </w:r>
          </w:p>
        </w:tc>
      </w:tr>
      <w:tr w:rsidR="004868B2" w:rsidRPr="005470CB" w14:paraId="6F6BBA34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E1B2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CHUBUT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6705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004F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0,47%</w:t>
            </w:r>
          </w:p>
        </w:tc>
      </w:tr>
      <w:tr w:rsidR="004868B2" w:rsidRPr="005470CB" w14:paraId="76D9E5DA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3F20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LA RIOJA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6732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C853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0,47%</w:t>
            </w:r>
          </w:p>
        </w:tc>
      </w:tr>
      <w:tr w:rsidR="004868B2" w:rsidRPr="005470CB" w14:paraId="3597C74A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C3E6" w14:textId="77777777" w:rsidR="004868B2" w:rsidRPr="005470CB" w:rsidRDefault="004868B2" w:rsidP="00992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470CB">
              <w:rPr>
                <w:rFonts w:eastAsia="Calibri"/>
              </w:rPr>
              <w:t>TUCUMÁN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1104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A4B7" w14:textId="77777777" w:rsidR="004868B2" w:rsidRPr="005470CB" w:rsidRDefault="004868B2" w:rsidP="004D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right"/>
              <w:rPr>
                <w:rFonts w:eastAsia="Calibri"/>
              </w:rPr>
            </w:pPr>
            <w:r w:rsidRPr="005470CB">
              <w:rPr>
                <w:rFonts w:eastAsia="Calibri"/>
              </w:rPr>
              <w:t>0,47%</w:t>
            </w:r>
          </w:p>
        </w:tc>
      </w:tr>
      <w:tr w:rsidR="004868B2" w:rsidRPr="005470CB" w14:paraId="09CED9EC" w14:textId="77777777" w:rsidTr="004D11F2">
        <w:trPr>
          <w:trHeight w:val="2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2E50" w14:textId="77777777" w:rsidR="004868B2" w:rsidRPr="009929EC" w:rsidRDefault="004868B2" w:rsidP="009929EC">
            <w:pPr>
              <w:widowControl w:val="0"/>
              <w:rPr>
                <w:rFonts w:eastAsia="Calibri"/>
                <w:b/>
                <w:bCs/>
              </w:rPr>
            </w:pPr>
            <w:r w:rsidRPr="009929EC"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7108" w14:textId="77777777" w:rsidR="004868B2" w:rsidRPr="009929EC" w:rsidRDefault="004868B2" w:rsidP="004D11F2">
            <w:pPr>
              <w:widowControl w:val="0"/>
              <w:ind w:left="851"/>
              <w:jc w:val="right"/>
              <w:rPr>
                <w:rFonts w:eastAsia="Calibri"/>
                <w:b/>
                <w:bCs/>
              </w:rPr>
            </w:pPr>
            <w:r w:rsidRPr="009929EC">
              <w:rPr>
                <w:rFonts w:eastAsia="Calibri"/>
                <w:b/>
                <w:bCs/>
              </w:rPr>
              <w:t>215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FBB4" w14:textId="77777777" w:rsidR="004868B2" w:rsidRPr="009929EC" w:rsidRDefault="004868B2" w:rsidP="004D11F2">
            <w:pPr>
              <w:widowControl w:val="0"/>
              <w:ind w:left="851"/>
              <w:jc w:val="right"/>
              <w:rPr>
                <w:rFonts w:eastAsia="Calibri"/>
                <w:b/>
                <w:bCs/>
              </w:rPr>
            </w:pPr>
            <w:r w:rsidRPr="009929EC">
              <w:rPr>
                <w:rFonts w:eastAsia="Calibri"/>
                <w:b/>
                <w:bCs/>
              </w:rPr>
              <w:t>100,00%</w:t>
            </w:r>
          </w:p>
        </w:tc>
      </w:tr>
    </w:tbl>
    <w:p w14:paraId="6F0D5305" w14:textId="77DEEDFB" w:rsidR="004868B2" w:rsidRPr="005470CB" w:rsidRDefault="004868B2" w:rsidP="00273333">
      <w:pPr>
        <w:spacing w:before="240" w:after="240"/>
        <w:ind w:left="851"/>
        <w:rPr>
          <w:rFonts w:eastAsia="Calibri"/>
        </w:rPr>
      </w:pPr>
      <w:r w:rsidRPr="004D11F2">
        <w:rPr>
          <w:b/>
          <w:color w:val="2B3183"/>
          <w:lang w:val="es-AR"/>
        </w:rPr>
        <w:t>Fuente:</w:t>
      </w:r>
      <w:r w:rsidRPr="005470CB">
        <w:rPr>
          <w:rFonts w:eastAsia="Calibri"/>
        </w:rPr>
        <w:t xml:space="preserve"> SICA</w:t>
      </w:r>
    </w:p>
    <w:p w14:paraId="4C316BCE" w14:textId="77777777" w:rsidR="004D11F2" w:rsidRDefault="004D11F2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008B7FE1" w14:textId="2C40AD9E" w:rsidR="004868B2" w:rsidRPr="004D11F2" w:rsidRDefault="004D11F2" w:rsidP="004D11F2">
      <w:pPr>
        <w:pStyle w:val="Ttulo1"/>
        <w:ind w:left="850"/>
        <w:rPr>
          <w:b/>
          <w:color w:val="2B3183"/>
          <w:sz w:val="48"/>
          <w:szCs w:val="48"/>
          <w:lang w:val="es-AR"/>
        </w:rPr>
      </w:pPr>
      <w:bookmarkStart w:id="13" w:name="_Toc109038270"/>
      <w:r w:rsidRPr="004D11F2">
        <w:rPr>
          <w:b/>
          <w:color w:val="2B3183"/>
          <w:sz w:val="48"/>
          <w:szCs w:val="48"/>
          <w:lang w:val="es-AR"/>
        </w:rPr>
        <w:lastRenderedPageBreak/>
        <w:t>Conclusiones generales</w:t>
      </w:r>
      <w:bookmarkEnd w:id="13"/>
    </w:p>
    <w:p w14:paraId="02B58048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4D11F2">
        <w:rPr>
          <w:rFonts w:eastAsia="Calibri"/>
          <w:sz w:val="24"/>
          <w:szCs w:val="24"/>
        </w:rPr>
        <w:t>A partir de diversos indicadores analizados, se pueden extraer algunas conclusiones preliminares.</w:t>
      </w:r>
      <w:r w:rsidRPr="004D11F2">
        <w:rPr>
          <w:rFonts w:eastAsia="Calibri"/>
          <w:b/>
          <w:sz w:val="24"/>
          <w:szCs w:val="24"/>
        </w:rPr>
        <w:t xml:space="preserve"> El rol del INCAA fue determinante para atemperar los efectos agudos de la crisis, principalmente, a partir del otorgamiento de subsidios a la producción de películas</w:t>
      </w:r>
      <w:r w:rsidRPr="004D11F2">
        <w:rPr>
          <w:rFonts w:eastAsia="Calibri"/>
          <w:sz w:val="24"/>
          <w:szCs w:val="24"/>
        </w:rPr>
        <w:t>. A eso se suman los documentales de Vía Digital y los concursos de Óperas Primas</w:t>
      </w:r>
      <w:r w:rsidRPr="004D11F2">
        <w:rPr>
          <w:rFonts w:eastAsia="Calibri"/>
          <w:sz w:val="24"/>
          <w:szCs w:val="24"/>
          <w:vertAlign w:val="superscript"/>
        </w:rPr>
        <w:footnoteReference w:id="1"/>
      </w:r>
      <w:r w:rsidRPr="004D11F2">
        <w:rPr>
          <w:rFonts w:eastAsia="Calibri"/>
          <w:sz w:val="24"/>
          <w:szCs w:val="24"/>
        </w:rPr>
        <w:t>.</w:t>
      </w:r>
    </w:p>
    <w:p w14:paraId="0806FDB6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b/>
          <w:sz w:val="24"/>
          <w:szCs w:val="24"/>
        </w:rPr>
      </w:pPr>
      <w:r w:rsidRPr="004D11F2">
        <w:rPr>
          <w:rFonts w:eastAsia="Calibri"/>
          <w:b/>
          <w:sz w:val="24"/>
          <w:szCs w:val="24"/>
        </w:rPr>
        <w:t>En total, durante la pandemia, el INCAA inyectó más de $4.200 millones de pesos en la industria audiovisual. Esa cifra se compone en particular de la ejecución de subsidios a películas en 2020 y 2021 más el Fondo de Asistencia para la Reactivación de Rodajes</w:t>
      </w:r>
      <w:r w:rsidRPr="004D11F2">
        <w:rPr>
          <w:rFonts w:eastAsia="Calibri"/>
          <w:sz w:val="24"/>
          <w:szCs w:val="24"/>
        </w:rPr>
        <w:t xml:space="preserve">, que apoyó hasta el momento 123 solicitudes de asistencia para la reactivación de rodajes (81 proyectos de Ficción, 38 de género Documental y 4 de Animación), con </w:t>
      </w:r>
      <w:r w:rsidRPr="004D11F2">
        <w:rPr>
          <w:rFonts w:eastAsia="Calibri"/>
          <w:b/>
          <w:sz w:val="24"/>
          <w:szCs w:val="24"/>
        </w:rPr>
        <w:t xml:space="preserve">asistencia otorgada por un monto de $1.077.213.081,32. </w:t>
      </w:r>
    </w:p>
    <w:p w14:paraId="0F3FECE6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4D11F2">
        <w:rPr>
          <w:rFonts w:eastAsia="Calibri"/>
          <w:sz w:val="24"/>
          <w:szCs w:val="24"/>
        </w:rPr>
        <w:t xml:space="preserve">En términos de ejecución, lo gastado por el Fondo representa un 97,93% de su presupuesto, lo que deja un saldo total a la fecha de $22.786.918,68 para seguir rehabilitando rodajes. </w:t>
      </w:r>
    </w:p>
    <w:p w14:paraId="226FDA1E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b/>
          <w:sz w:val="24"/>
          <w:szCs w:val="24"/>
        </w:rPr>
      </w:pPr>
      <w:r w:rsidRPr="004D11F2">
        <w:rPr>
          <w:rFonts w:eastAsia="Calibri"/>
          <w:sz w:val="24"/>
          <w:szCs w:val="24"/>
        </w:rPr>
        <w:t xml:space="preserve">En materia de Cine, se destacan los pagos de </w:t>
      </w:r>
      <w:r w:rsidRPr="004D11F2">
        <w:rPr>
          <w:rFonts w:eastAsia="Calibri"/>
          <w:b/>
          <w:sz w:val="24"/>
          <w:szCs w:val="24"/>
        </w:rPr>
        <w:t>Subsidios a la Producción de Películas por la suma total de $2.264.626.786,90, que representan el 56,78% de los recursos impositivos del año, invertidos en 892 proyectos distintos.</w:t>
      </w:r>
    </w:p>
    <w:p w14:paraId="380F71DD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4D11F2">
        <w:rPr>
          <w:rFonts w:eastAsia="Calibri"/>
          <w:sz w:val="24"/>
          <w:szCs w:val="24"/>
        </w:rPr>
        <w:t xml:space="preserve">Para considerar, una estadística menor pero significativa que registra los ingresos a través de la Ventanilla Única Electrónica del INCAA señala una </w:t>
      </w:r>
      <w:r w:rsidRPr="004D11F2">
        <w:rPr>
          <w:rFonts w:eastAsia="Calibri"/>
          <w:b/>
          <w:sz w:val="24"/>
          <w:szCs w:val="24"/>
        </w:rPr>
        <w:t>clara tendencia a la recuperación del sector</w:t>
      </w:r>
      <w:r w:rsidRPr="004D11F2">
        <w:rPr>
          <w:rFonts w:eastAsia="Calibri"/>
          <w:sz w:val="24"/>
          <w:szCs w:val="24"/>
        </w:rPr>
        <w:t>, sobre todo en materia de Inicio de rodaje e Inicio de Postproducción. La recuperación en las coproducciones internacionales corrobora esa observación: si en 2019 se habían reconocido 32, cifra que cayó a 10 en el primer año de la pandemia, en 2021 se reconoció una cantidad superior incluso a la de la prepandemia: 43.</w:t>
      </w:r>
    </w:p>
    <w:p w14:paraId="438FF145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4D11F2">
        <w:rPr>
          <w:rFonts w:eastAsia="Calibri"/>
          <w:sz w:val="24"/>
          <w:szCs w:val="24"/>
        </w:rPr>
        <w:t xml:space="preserve">Desde una </w:t>
      </w:r>
      <w:r w:rsidRPr="004D11F2">
        <w:rPr>
          <w:rFonts w:eastAsia="Calibri"/>
          <w:b/>
          <w:sz w:val="24"/>
          <w:szCs w:val="24"/>
        </w:rPr>
        <w:t>perspectiva federal</w:t>
      </w:r>
      <w:r w:rsidRPr="004D11F2">
        <w:rPr>
          <w:rFonts w:eastAsia="Calibri"/>
          <w:sz w:val="24"/>
          <w:szCs w:val="24"/>
        </w:rPr>
        <w:t xml:space="preserve">, la </w:t>
      </w:r>
      <w:r w:rsidRPr="004D11F2">
        <w:rPr>
          <w:rFonts w:eastAsia="Calibri"/>
          <w:b/>
          <w:sz w:val="24"/>
          <w:szCs w:val="24"/>
        </w:rPr>
        <w:t>Ciudad de Buenos Aires (CABA) acaparó abrumadoramente los proyectos apoyados para la reactivación de rodaje</w:t>
      </w:r>
      <w:r w:rsidRPr="004D11F2">
        <w:rPr>
          <w:rFonts w:eastAsia="Calibri"/>
          <w:sz w:val="24"/>
          <w:szCs w:val="24"/>
        </w:rPr>
        <w:t xml:space="preserve">, con más del 85%. También los </w:t>
      </w:r>
      <w:r w:rsidRPr="004D11F2">
        <w:rPr>
          <w:rFonts w:eastAsia="Calibri"/>
          <w:b/>
          <w:sz w:val="24"/>
          <w:szCs w:val="24"/>
        </w:rPr>
        <w:t>inicios de rodaje relevados por el SICA</w:t>
      </w:r>
      <w:r w:rsidRPr="004D11F2">
        <w:rPr>
          <w:rFonts w:eastAsia="Calibri"/>
          <w:sz w:val="24"/>
          <w:szCs w:val="24"/>
        </w:rPr>
        <w:t xml:space="preserve"> (con más del 40%), seguida por la provincia de Buenos Aires (22,79%) y Córdoba (6,05%).</w:t>
      </w:r>
    </w:p>
    <w:p w14:paraId="0427B092" w14:textId="77777777" w:rsidR="004868B2" w:rsidRPr="004D11F2" w:rsidRDefault="004868B2" w:rsidP="00273333">
      <w:pPr>
        <w:spacing w:before="240" w:after="240"/>
        <w:ind w:left="851"/>
        <w:jc w:val="both"/>
        <w:rPr>
          <w:rFonts w:eastAsia="Calibri"/>
          <w:sz w:val="24"/>
          <w:szCs w:val="24"/>
        </w:rPr>
      </w:pPr>
      <w:r w:rsidRPr="004D11F2">
        <w:rPr>
          <w:rFonts w:eastAsia="Calibri"/>
          <w:sz w:val="24"/>
          <w:szCs w:val="24"/>
        </w:rPr>
        <w:t xml:space="preserve">Por último, con una mirada desde la </w:t>
      </w:r>
      <w:r w:rsidRPr="004D11F2">
        <w:rPr>
          <w:rFonts w:eastAsia="Calibri"/>
          <w:b/>
          <w:sz w:val="24"/>
          <w:szCs w:val="24"/>
        </w:rPr>
        <w:t xml:space="preserve">perspectiva de género </w:t>
      </w:r>
      <w:r w:rsidRPr="004D11F2">
        <w:rPr>
          <w:rFonts w:eastAsia="Calibri"/>
          <w:sz w:val="24"/>
          <w:szCs w:val="24"/>
        </w:rPr>
        <w:t xml:space="preserve">a los proyectos presentados para asistencia para la reactivación de rodajes se puede ver que el rol de producción ejecutiva es el de distribución de género más igualitaria, con un 45,83% de mujeres, 41,67% hombres y un 12,5% </w:t>
      </w:r>
      <w:r w:rsidRPr="004D11F2">
        <w:rPr>
          <w:rFonts w:eastAsia="Calibri"/>
          <w:sz w:val="24"/>
          <w:szCs w:val="24"/>
        </w:rPr>
        <w:lastRenderedPageBreak/>
        <w:t>con rol compartido. En Dirección y Guion, sin embargo, el sesgo masculino es aún predominante, con más de 70% para varones y sólo alrededor de 25% para mujeres.</w:t>
      </w:r>
    </w:p>
    <w:p w14:paraId="01AD95FA" w14:textId="77777777" w:rsidR="004868B2" w:rsidRPr="005470CB" w:rsidRDefault="004868B2" w:rsidP="004868B2">
      <w:pPr>
        <w:spacing w:before="240" w:after="240"/>
        <w:jc w:val="both"/>
        <w:rPr>
          <w:rFonts w:eastAsia="Calibri"/>
        </w:rPr>
      </w:pPr>
      <w:r w:rsidRPr="005470CB">
        <w:br w:type="page"/>
      </w:r>
    </w:p>
    <w:p w14:paraId="7B5F4F7D" w14:textId="77777777" w:rsidR="004868B2" w:rsidRPr="005470CB" w:rsidRDefault="004868B2" w:rsidP="004868B2">
      <w:pPr>
        <w:spacing w:before="240" w:after="240"/>
        <w:ind w:left="60" w:right="280" w:firstLine="1080"/>
        <w:jc w:val="both"/>
        <w:rPr>
          <w:rFonts w:eastAsia="Calibri"/>
          <w:b/>
          <w:color w:val="2B3183"/>
          <w:sz w:val="28"/>
          <w:szCs w:val="28"/>
        </w:rPr>
      </w:pPr>
      <w:r w:rsidRPr="005470CB">
        <w:rPr>
          <w:rFonts w:eastAsia="Calibri"/>
          <w:b/>
          <w:color w:val="2B3183"/>
          <w:sz w:val="28"/>
          <w:szCs w:val="28"/>
        </w:rPr>
        <w:lastRenderedPageBreak/>
        <w:t>Equipo Observatorio Audiovisual INCAA</w:t>
      </w:r>
    </w:p>
    <w:p w14:paraId="12796D0B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</w:rPr>
      </w:pPr>
      <w:r w:rsidRPr="005470CB">
        <w:rPr>
          <w:rFonts w:eastAsia="Calibri"/>
        </w:rPr>
        <w:t xml:space="preserve"> </w:t>
      </w:r>
    </w:p>
    <w:p w14:paraId="57590880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b/>
          <w:color w:val="2B3183"/>
          <w:sz w:val="24"/>
          <w:szCs w:val="24"/>
        </w:rPr>
      </w:pPr>
      <w:r w:rsidRPr="005470CB">
        <w:rPr>
          <w:rFonts w:eastAsia="Calibri"/>
          <w:b/>
          <w:color w:val="2B3183"/>
          <w:sz w:val="24"/>
          <w:szCs w:val="24"/>
        </w:rPr>
        <w:t>Subgerente</w:t>
      </w:r>
    </w:p>
    <w:p w14:paraId="0DA7F79C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Julio Bertolotti</w:t>
      </w:r>
    </w:p>
    <w:p w14:paraId="7FD2DEBB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 xml:space="preserve"> </w:t>
      </w:r>
    </w:p>
    <w:p w14:paraId="57B79B93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Carolina Ciotti</w:t>
      </w:r>
    </w:p>
    <w:p w14:paraId="39D8491E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Ana Rosa Cunha da Cruz</w:t>
      </w:r>
    </w:p>
    <w:p w14:paraId="3979E143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Santiago Diehl</w:t>
      </w:r>
    </w:p>
    <w:p w14:paraId="13C38742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Mariano García</w:t>
      </w:r>
    </w:p>
    <w:p w14:paraId="4F28A021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Leandro González</w:t>
      </w:r>
    </w:p>
    <w:p w14:paraId="6493F1D2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Edith Roca</w:t>
      </w:r>
    </w:p>
    <w:p w14:paraId="1AB0EB58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Paula Roel</w:t>
      </w:r>
    </w:p>
    <w:p w14:paraId="10415195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>Guillermo Saura</w:t>
      </w:r>
    </w:p>
    <w:p w14:paraId="34E386F7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 xml:space="preserve"> </w:t>
      </w:r>
    </w:p>
    <w:p w14:paraId="17BD704C" w14:textId="77777777" w:rsidR="004868B2" w:rsidRPr="005470CB" w:rsidRDefault="004868B2" w:rsidP="004868B2">
      <w:pPr>
        <w:spacing w:before="240" w:after="240"/>
        <w:ind w:left="1140" w:right="280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 xml:space="preserve"> </w:t>
      </w:r>
    </w:p>
    <w:p w14:paraId="5989E0C9" w14:textId="77777777" w:rsidR="004868B2" w:rsidRPr="005470CB" w:rsidRDefault="004868B2" w:rsidP="004868B2">
      <w:pPr>
        <w:spacing w:before="280" w:after="280" w:line="360" w:lineRule="auto"/>
        <w:ind w:left="1140" w:right="280"/>
        <w:jc w:val="both"/>
        <w:rPr>
          <w:rFonts w:eastAsia="Calibri"/>
          <w:sz w:val="24"/>
          <w:szCs w:val="24"/>
        </w:rPr>
      </w:pPr>
      <w:r w:rsidRPr="005470CB">
        <w:rPr>
          <w:rFonts w:eastAsia="Calibri"/>
          <w:sz w:val="24"/>
          <w:szCs w:val="24"/>
        </w:rPr>
        <w:t xml:space="preserve"> </w:t>
      </w:r>
    </w:p>
    <w:p w14:paraId="7B980F8F" w14:textId="0A27FCC6" w:rsidR="008F4FE2" w:rsidRPr="00CD387E" w:rsidRDefault="004868B2" w:rsidP="00CD387E">
      <w:pPr>
        <w:spacing w:before="280" w:after="280" w:line="360" w:lineRule="auto"/>
        <w:ind w:left="1140" w:right="280"/>
        <w:jc w:val="both"/>
        <w:rPr>
          <w:rFonts w:eastAsia="Calibri"/>
          <w:color w:val="181818"/>
          <w:sz w:val="24"/>
          <w:szCs w:val="24"/>
          <w:highlight w:val="white"/>
        </w:rPr>
      </w:pPr>
      <w:r w:rsidRPr="005470CB">
        <w:rPr>
          <w:rFonts w:eastAsia="Calibri"/>
          <w:color w:val="181818"/>
          <w:sz w:val="24"/>
          <w:szCs w:val="24"/>
          <w:highlight w:val="white"/>
        </w:rPr>
        <w:t>El Observatorio Audiovisual del INCAA desarrolla líneas de investigación, elabora análisis y produce informes sobre las diferentes áreas que componen la industria audiovisual. Su función es construir y consolidar herramientas de gestión que fortalezcan la planificación, el diseño de políticas dirigidas al sector, la ejecución de acciones y la evaluación de impacto en la toma de decisiones orientadas al desarrollo de la industria audiovisual de Argentina, tanto en el ámbito privado como público.</w:t>
      </w:r>
    </w:p>
    <w:sectPr w:rsidR="008F4FE2" w:rsidRPr="00CD387E" w:rsidSect="006870CD">
      <w:headerReference w:type="default" r:id="rId10"/>
      <w:footerReference w:type="default" r:id="rId11"/>
      <w:pgSz w:w="11906" w:h="16838"/>
      <w:pgMar w:top="2834" w:right="707" w:bottom="1133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E313" w14:textId="77777777" w:rsidR="00A42C48" w:rsidRDefault="00A42C48">
      <w:pPr>
        <w:spacing w:line="240" w:lineRule="auto"/>
      </w:pPr>
      <w:r>
        <w:separator/>
      </w:r>
    </w:p>
  </w:endnote>
  <w:endnote w:type="continuationSeparator" w:id="0">
    <w:p w14:paraId="631DF49C" w14:textId="77777777" w:rsidR="00A42C48" w:rsidRDefault="00A42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414706"/>
      <w:docPartObj>
        <w:docPartGallery w:val="Page Numbers (Bottom of Page)"/>
        <w:docPartUnique/>
      </w:docPartObj>
    </w:sdtPr>
    <w:sdtContent>
      <w:p w14:paraId="0B6780D0" w14:textId="5B3FEF45" w:rsidR="004A6F96" w:rsidRDefault="004A6F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E9" w:rsidRPr="001F36E9">
          <w:rPr>
            <w:noProof/>
            <w:lang w:val="es-ES"/>
          </w:rPr>
          <w:t>21</w:t>
        </w:r>
        <w:r>
          <w:fldChar w:fldCharType="end"/>
        </w:r>
      </w:p>
    </w:sdtContent>
  </w:sdt>
  <w:p w14:paraId="7ED21EE7" w14:textId="2BCDA609" w:rsidR="004A6F96" w:rsidRDefault="004A6F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BC9" w14:textId="77777777" w:rsidR="00A42C48" w:rsidRDefault="00A42C48">
      <w:pPr>
        <w:spacing w:line="240" w:lineRule="auto"/>
      </w:pPr>
      <w:r>
        <w:separator/>
      </w:r>
    </w:p>
  </w:footnote>
  <w:footnote w:type="continuationSeparator" w:id="0">
    <w:p w14:paraId="1BC26925" w14:textId="77777777" w:rsidR="00A42C48" w:rsidRDefault="00A42C48">
      <w:pPr>
        <w:spacing w:line="240" w:lineRule="auto"/>
      </w:pPr>
      <w:r>
        <w:continuationSeparator/>
      </w:r>
    </w:p>
  </w:footnote>
  <w:footnote w:id="1">
    <w:p w14:paraId="29C257BA" w14:textId="77777777" w:rsidR="004868B2" w:rsidRDefault="004868B2" w:rsidP="004D11F2">
      <w:pPr>
        <w:spacing w:line="240" w:lineRule="auto"/>
        <w:ind w:left="851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También es dable mencionar la inyección a las obras sociales de los y las trabajadores del cine y el audiovisual, el apoyo a festivales federales, los proyectos cinematográficos nuevos recuperados del concurso federal de proyectos “Raymundo </w:t>
      </w:r>
      <w:proofErr w:type="spellStart"/>
      <w:r>
        <w:rPr>
          <w:rFonts w:ascii="Calibri" w:eastAsia="Calibri" w:hAnsi="Calibri" w:cs="Calibri"/>
        </w:rPr>
        <w:t>Gleyzer</w:t>
      </w:r>
      <w:proofErr w:type="spellEnd"/>
      <w:r>
        <w:rPr>
          <w:rFonts w:ascii="Calibri" w:eastAsia="Calibri" w:hAnsi="Calibri" w:cs="Calibri"/>
        </w:rPr>
        <w:t>”, la creación de tres nuevas sedes de la escuela de cine del INCAA (ENERC) para el desarrollo de la animación y las nuevas tecnologías, la restauración completa del cine Gaumont y la culminación de las obras edilicias en la sede central de la ENERC.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74B" w14:textId="77777777" w:rsidR="004A6F96" w:rsidRDefault="004A6F96">
    <w:r>
      <w:rPr>
        <w:noProof/>
        <w:lang w:val="es-AR"/>
      </w:rPr>
      <w:drawing>
        <wp:inline distT="114300" distB="114300" distL="114300" distR="114300" wp14:anchorId="222FDFDE" wp14:editId="21AC1281">
          <wp:extent cx="7529513" cy="1404314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404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B28"/>
    <w:multiLevelType w:val="hybridMultilevel"/>
    <w:tmpl w:val="027E045A"/>
    <w:lvl w:ilvl="0" w:tplc="72D48B3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8B98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370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86FC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CA2F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45F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223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66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80FF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20183"/>
    <w:multiLevelType w:val="hybridMultilevel"/>
    <w:tmpl w:val="54BAFEDE"/>
    <w:lvl w:ilvl="0" w:tplc="152C87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02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E00B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002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CD4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ED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D6F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4E5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CEA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2D54F7"/>
    <w:multiLevelType w:val="hybridMultilevel"/>
    <w:tmpl w:val="D17C0C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7E3"/>
    <w:multiLevelType w:val="hybridMultilevel"/>
    <w:tmpl w:val="396E7F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3F2"/>
    <w:multiLevelType w:val="hybridMultilevel"/>
    <w:tmpl w:val="98F69C32"/>
    <w:lvl w:ilvl="0" w:tplc="D20ED9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4B644">
      <w:start w:val="180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EE60A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64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139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95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C5BE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EDC8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8EA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C80B4B"/>
    <w:multiLevelType w:val="hybridMultilevel"/>
    <w:tmpl w:val="C1E4E2F8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4071467"/>
    <w:multiLevelType w:val="hybridMultilevel"/>
    <w:tmpl w:val="B5B2049A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E34C9BC8">
      <w:numFmt w:val="bullet"/>
      <w:lvlText w:val="•"/>
      <w:lvlJc w:val="left"/>
      <w:pPr>
        <w:ind w:left="2290" w:hanging="360"/>
      </w:pPr>
      <w:rPr>
        <w:rFonts w:ascii="Arial" w:eastAsia="Arial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59E6279"/>
    <w:multiLevelType w:val="hybridMultilevel"/>
    <w:tmpl w:val="B922D9BA"/>
    <w:lvl w:ilvl="0" w:tplc="B8DA3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1FBE"/>
    <w:multiLevelType w:val="hybridMultilevel"/>
    <w:tmpl w:val="3CBEACF6"/>
    <w:lvl w:ilvl="0" w:tplc="4E9C202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2B46E58"/>
    <w:multiLevelType w:val="hybridMultilevel"/>
    <w:tmpl w:val="E8DA8302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4416702"/>
    <w:multiLevelType w:val="hybridMultilevel"/>
    <w:tmpl w:val="9A02AE1C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351111CA"/>
    <w:multiLevelType w:val="hybridMultilevel"/>
    <w:tmpl w:val="378A0F62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3A855202"/>
    <w:multiLevelType w:val="hybridMultilevel"/>
    <w:tmpl w:val="E6002CB6"/>
    <w:lvl w:ilvl="0" w:tplc="9FC2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14:shadow w14:blurRad="50800" w14:dist="50800" w14:dir="5400000" w14:sx="0" w14:sy="0" w14:kx="0" w14:ky="0" w14:algn="ctr">
          <w14:srgbClr w14:val="002060"/>
        </w14:shadow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0742"/>
    <w:multiLevelType w:val="hybridMultilevel"/>
    <w:tmpl w:val="61C4FDAE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066A9D"/>
    <w:multiLevelType w:val="hybridMultilevel"/>
    <w:tmpl w:val="4CCCC000"/>
    <w:lvl w:ilvl="0" w:tplc="E13C7A0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7D9129D"/>
    <w:multiLevelType w:val="multilevel"/>
    <w:tmpl w:val="8534953A"/>
    <w:lvl w:ilvl="0">
      <w:start w:val="1"/>
      <w:numFmt w:val="bullet"/>
      <w:lvlText w:val="●"/>
      <w:lvlJc w:val="left"/>
      <w:pPr>
        <w:ind w:left="1440" w:hanging="360"/>
      </w:pPr>
      <w:rPr>
        <w:color w:val="2B318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96851E8"/>
    <w:multiLevelType w:val="hybridMultilevel"/>
    <w:tmpl w:val="EE086280"/>
    <w:lvl w:ilvl="0" w:tplc="A2C4A23A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 w15:restartNumberingAfterBreak="0">
    <w:nsid w:val="583F1F83"/>
    <w:multiLevelType w:val="hybridMultilevel"/>
    <w:tmpl w:val="5DF2A7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08E9"/>
    <w:multiLevelType w:val="hybridMultilevel"/>
    <w:tmpl w:val="0B0040CC"/>
    <w:lvl w:ilvl="0" w:tplc="55A2A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AE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43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C8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D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25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C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1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72AB9"/>
    <w:multiLevelType w:val="hybridMultilevel"/>
    <w:tmpl w:val="85DCDB9A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BC259F1"/>
    <w:multiLevelType w:val="hybridMultilevel"/>
    <w:tmpl w:val="8B2A67E2"/>
    <w:lvl w:ilvl="0" w:tplc="B29C90B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EFD8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010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52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A1CA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52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4EB8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6BD1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4ACD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C25860"/>
    <w:multiLevelType w:val="hybridMultilevel"/>
    <w:tmpl w:val="46209160"/>
    <w:lvl w:ilvl="0" w:tplc="A2C4A23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17365D" w:themeColor="text2" w:themeShade="BF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85D7D61"/>
    <w:multiLevelType w:val="multilevel"/>
    <w:tmpl w:val="5E705768"/>
    <w:lvl w:ilvl="0">
      <w:start w:val="4"/>
      <w:numFmt w:val="decimal"/>
      <w:lvlText w:val="%1"/>
      <w:lvlJc w:val="left"/>
      <w:pPr>
        <w:ind w:left="1695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95" w:hanging="495"/>
      </w:pPr>
      <w:rPr>
        <w:rFonts w:ascii="Calibri" w:eastAsia="Calibri" w:hAnsi="Calibri" w:cs="Calibri" w:hint="default"/>
        <w:color w:val="30849B"/>
        <w:spacing w:val="-2"/>
        <w:w w:val="99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3421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82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3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6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6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87" w:hanging="495"/>
      </w:pPr>
      <w:rPr>
        <w:rFonts w:hint="default"/>
        <w:lang w:val="es-ES" w:eastAsia="en-US" w:bidi="ar-SA"/>
      </w:rPr>
    </w:lvl>
  </w:abstractNum>
  <w:abstractNum w:abstractNumId="23" w15:restartNumberingAfterBreak="0">
    <w:nsid w:val="6B3E68B2"/>
    <w:multiLevelType w:val="hybridMultilevel"/>
    <w:tmpl w:val="D17C0C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76B3"/>
    <w:multiLevelType w:val="hybridMultilevel"/>
    <w:tmpl w:val="29BA4F9C"/>
    <w:lvl w:ilvl="0" w:tplc="2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066074563">
    <w:abstractNumId w:val="15"/>
  </w:num>
  <w:num w:numId="2" w16cid:durableId="629943851">
    <w:abstractNumId w:val="18"/>
  </w:num>
  <w:num w:numId="3" w16cid:durableId="1495414395">
    <w:abstractNumId w:val="20"/>
  </w:num>
  <w:num w:numId="4" w16cid:durableId="66534928">
    <w:abstractNumId w:val="4"/>
  </w:num>
  <w:num w:numId="5" w16cid:durableId="2143424077">
    <w:abstractNumId w:val="0"/>
  </w:num>
  <w:num w:numId="6" w16cid:durableId="2100520666">
    <w:abstractNumId w:val="1"/>
  </w:num>
  <w:num w:numId="7" w16cid:durableId="822047215">
    <w:abstractNumId w:val="7"/>
  </w:num>
  <w:num w:numId="8" w16cid:durableId="419762701">
    <w:abstractNumId w:val="22"/>
  </w:num>
  <w:num w:numId="9" w16cid:durableId="1301767789">
    <w:abstractNumId w:val="17"/>
  </w:num>
  <w:num w:numId="10" w16cid:durableId="555357123">
    <w:abstractNumId w:val="3"/>
  </w:num>
  <w:num w:numId="11" w16cid:durableId="1178497044">
    <w:abstractNumId w:val="23"/>
  </w:num>
  <w:num w:numId="12" w16cid:durableId="1172143847">
    <w:abstractNumId w:val="2"/>
  </w:num>
  <w:num w:numId="13" w16cid:durableId="851837813">
    <w:abstractNumId w:val="12"/>
  </w:num>
  <w:num w:numId="14" w16cid:durableId="882597523">
    <w:abstractNumId w:val="12"/>
  </w:num>
  <w:num w:numId="15" w16cid:durableId="483619122">
    <w:abstractNumId w:val="8"/>
  </w:num>
  <w:num w:numId="16" w16cid:durableId="563950847">
    <w:abstractNumId w:val="24"/>
  </w:num>
  <w:num w:numId="17" w16cid:durableId="532839360">
    <w:abstractNumId w:val="5"/>
  </w:num>
  <w:num w:numId="18" w16cid:durableId="352145982">
    <w:abstractNumId w:val="16"/>
  </w:num>
  <w:num w:numId="19" w16cid:durableId="1509490860">
    <w:abstractNumId w:val="6"/>
  </w:num>
  <w:num w:numId="20" w16cid:durableId="1363750402">
    <w:abstractNumId w:val="21"/>
  </w:num>
  <w:num w:numId="21" w16cid:durableId="1843348744">
    <w:abstractNumId w:val="9"/>
  </w:num>
  <w:num w:numId="22" w16cid:durableId="315884872">
    <w:abstractNumId w:val="19"/>
  </w:num>
  <w:num w:numId="23" w16cid:durableId="46612283">
    <w:abstractNumId w:val="11"/>
  </w:num>
  <w:num w:numId="24" w16cid:durableId="1983655308">
    <w:abstractNumId w:val="10"/>
  </w:num>
  <w:num w:numId="25" w16cid:durableId="1484544299">
    <w:abstractNumId w:val="14"/>
  </w:num>
  <w:num w:numId="26" w16cid:durableId="1119644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CE"/>
    <w:rsid w:val="00001203"/>
    <w:rsid w:val="0002086B"/>
    <w:rsid w:val="00025CBE"/>
    <w:rsid w:val="0003428C"/>
    <w:rsid w:val="00036559"/>
    <w:rsid w:val="000366C6"/>
    <w:rsid w:val="00042138"/>
    <w:rsid w:val="00043461"/>
    <w:rsid w:val="00053716"/>
    <w:rsid w:val="000733CE"/>
    <w:rsid w:val="00084274"/>
    <w:rsid w:val="00085BD9"/>
    <w:rsid w:val="000905CE"/>
    <w:rsid w:val="0009651F"/>
    <w:rsid w:val="00097747"/>
    <w:rsid w:val="000A4ED7"/>
    <w:rsid w:val="000A6C25"/>
    <w:rsid w:val="000B20A2"/>
    <w:rsid w:val="000C03AD"/>
    <w:rsid w:val="000C2413"/>
    <w:rsid w:val="000C6475"/>
    <w:rsid w:val="000F68B9"/>
    <w:rsid w:val="001049C6"/>
    <w:rsid w:val="00106811"/>
    <w:rsid w:val="001152EF"/>
    <w:rsid w:val="00116A99"/>
    <w:rsid w:val="00116C1D"/>
    <w:rsid w:val="00121AA1"/>
    <w:rsid w:val="00131A6A"/>
    <w:rsid w:val="00167FE4"/>
    <w:rsid w:val="00171308"/>
    <w:rsid w:val="00192D99"/>
    <w:rsid w:val="00193438"/>
    <w:rsid w:val="001B0131"/>
    <w:rsid w:val="001B0D1D"/>
    <w:rsid w:val="001B4177"/>
    <w:rsid w:val="001B5BAA"/>
    <w:rsid w:val="001C460A"/>
    <w:rsid w:val="001D3722"/>
    <w:rsid w:val="001F36E9"/>
    <w:rsid w:val="001F3AA3"/>
    <w:rsid w:val="002032BC"/>
    <w:rsid w:val="00211008"/>
    <w:rsid w:val="00212435"/>
    <w:rsid w:val="0021683A"/>
    <w:rsid w:val="00217B86"/>
    <w:rsid w:val="00235EAE"/>
    <w:rsid w:val="00244AC6"/>
    <w:rsid w:val="002470FD"/>
    <w:rsid w:val="002534CD"/>
    <w:rsid w:val="00253F9C"/>
    <w:rsid w:val="0025778D"/>
    <w:rsid w:val="00257DB1"/>
    <w:rsid w:val="00262E17"/>
    <w:rsid w:val="00263940"/>
    <w:rsid w:val="00273333"/>
    <w:rsid w:val="002737E5"/>
    <w:rsid w:val="00281578"/>
    <w:rsid w:val="00281638"/>
    <w:rsid w:val="0029521E"/>
    <w:rsid w:val="002952AE"/>
    <w:rsid w:val="00296D25"/>
    <w:rsid w:val="002A0BD7"/>
    <w:rsid w:val="002A2953"/>
    <w:rsid w:val="002A4878"/>
    <w:rsid w:val="002B4404"/>
    <w:rsid w:val="002C5099"/>
    <w:rsid w:val="002C640B"/>
    <w:rsid w:val="002E0B52"/>
    <w:rsid w:val="00300DC7"/>
    <w:rsid w:val="00302AB2"/>
    <w:rsid w:val="00323845"/>
    <w:rsid w:val="00331150"/>
    <w:rsid w:val="0033600D"/>
    <w:rsid w:val="00342660"/>
    <w:rsid w:val="003542B5"/>
    <w:rsid w:val="0036228F"/>
    <w:rsid w:val="00372CA1"/>
    <w:rsid w:val="00374E2B"/>
    <w:rsid w:val="00387354"/>
    <w:rsid w:val="003A3524"/>
    <w:rsid w:val="003A6392"/>
    <w:rsid w:val="003A7AEF"/>
    <w:rsid w:val="003B3505"/>
    <w:rsid w:val="003B6258"/>
    <w:rsid w:val="003D494A"/>
    <w:rsid w:val="003E2644"/>
    <w:rsid w:val="003E6B1D"/>
    <w:rsid w:val="004073A4"/>
    <w:rsid w:val="00411E86"/>
    <w:rsid w:val="0041279D"/>
    <w:rsid w:val="00413865"/>
    <w:rsid w:val="00446DDF"/>
    <w:rsid w:val="004541D5"/>
    <w:rsid w:val="00456557"/>
    <w:rsid w:val="0048081B"/>
    <w:rsid w:val="00481036"/>
    <w:rsid w:val="00481818"/>
    <w:rsid w:val="004868B2"/>
    <w:rsid w:val="00492A73"/>
    <w:rsid w:val="00493C3A"/>
    <w:rsid w:val="0049541D"/>
    <w:rsid w:val="004A0DFF"/>
    <w:rsid w:val="004A12D8"/>
    <w:rsid w:val="004A2A3C"/>
    <w:rsid w:val="004A6F96"/>
    <w:rsid w:val="004A71CC"/>
    <w:rsid w:val="004D11F2"/>
    <w:rsid w:val="004E1303"/>
    <w:rsid w:val="004F2C84"/>
    <w:rsid w:val="004F3E2A"/>
    <w:rsid w:val="004F759C"/>
    <w:rsid w:val="005104AC"/>
    <w:rsid w:val="005119B5"/>
    <w:rsid w:val="00523699"/>
    <w:rsid w:val="0052667D"/>
    <w:rsid w:val="00532FEE"/>
    <w:rsid w:val="00533689"/>
    <w:rsid w:val="00536506"/>
    <w:rsid w:val="005368D6"/>
    <w:rsid w:val="00543BA3"/>
    <w:rsid w:val="005603F0"/>
    <w:rsid w:val="005613BE"/>
    <w:rsid w:val="00564285"/>
    <w:rsid w:val="00593530"/>
    <w:rsid w:val="005A50E7"/>
    <w:rsid w:val="005B2153"/>
    <w:rsid w:val="005C0005"/>
    <w:rsid w:val="005C6806"/>
    <w:rsid w:val="005C778F"/>
    <w:rsid w:val="005D131E"/>
    <w:rsid w:val="005D3118"/>
    <w:rsid w:val="005D3162"/>
    <w:rsid w:val="005D4C81"/>
    <w:rsid w:val="005F0538"/>
    <w:rsid w:val="005F1080"/>
    <w:rsid w:val="005F4BFD"/>
    <w:rsid w:val="005F58A3"/>
    <w:rsid w:val="005F5FC5"/>
    <w:rsid w:val="00604C8B"/>
    <w:rsid w:val="00606D0C"/>
    <w:rsid w:val="00630433"/>
    <w:rsid w:val="006535F3"/>
    <w:rsid w:val="006608D5"/>
    <w:rsid w:val="00685D97"/>
    <w:rsid w:val="006870CD"/>
    <w:rsid w:val="006A0AAB"/>
    <w:rsid w:val="006B160C"/>
    <w:rsid w:val="006C69ED"/>
    <w:rsid w:val="006D0139"/>
    <w:rsid w:val="006D2521"/>
    <w:rsid w:val="006D72AD"/>
    <w:rsid w:val="006F0AA2"/>
    <w:rsid w:val="006F11B8"/>
    <w:rsid w:val="006F5613"/>
    <w:rsid w:val="006F689F"/>
    <w:rsid w:val="006F69E4"/>
    <w:rsid w:val="007031EC"/>
    <w:rsid w:val="00711717"/>
    <w:rsid w:val="00717DA8"/>
    <w:rsid w:val="00722FB7"/>
    <w:rsid w:val="00733B77"/>
    <w:rsid w:val="00742C8E"/>
    <w:rsid w:val="00753A21"/>
    <w:rsid w:val="00755CF1"/>
    <w:rsid w:val="00760F62"/>
    <w:rsid w:val="007654C8"/>
    <w:rsid w:val="00765727"/>
    <w:rsid w:val="00776DC2"/>
    <w:rsid w:val="007A2909"/>
    <w:rsid w:val="007A4909"/>
    <w:rsid w:val="007C704C"/>
    <w:rsid w:val="007D21D8"/>
    <w:rsid w:val="007E08E8"/>
    <w:rsid w:val="007F05F7"/>
    <w:rsid w:val="00802E1A"/>
    <w:rsid w:val="008039B9"/>
    <w:rsid w:val="008278A1"/>
    <w:rsid w:val="00830B9F"/>
    <w:rsid w:val="008365F3"/>
    <w:rsid w:val="00860258"/>
    <w:rsid w:val="0086425B"/>
    <w:rsid w:val="00882B14"/>
    <w:rsid w:val="008868F5"/>
    <w:rsid w:val="00891232"/>
    <w:rsid w:val="00896054"/>
    <w:rsid w:val="008A168E"/>
    <w:rsid w:val="008A2C38"/>
    <w:rsid w:val="008B032D"/>
    <w:rsid w:val="008B463B"/>
    <w:rsid w:val="008B79AE"/>
    <w:rsid w:val="008C19C4"/>
    <w:rsid w:val="008D29F9"/>
    <w:rsid w:val="008D6D24"/>
    <w:rsid w:val="008D7AF2"/>
    <w:rsid w:val="008F4FE2"/>
    <w:rsid w:val="009021B3"/>
    <w:rsid w:val="0090567B"/>
    <w:rsid w:val="00905C77"/>
    <w:rsid w:val="009245DA"/>
    <w:rsid w:val="00930995"/>
    <w:rsid w:val="009320F4"/>
    <w:rsid w:val="00951991"/>
    <w:rsid w:val="0095262B"/>
    <w:rsid w:val="009541F3"/>
    <w:rsid w:val="00954EA2"/>
    <w:rsid w:val="00965447"/>
    <w:rsid w:val="00971B7B"/>
    <w:rsid w:val="0098124F"/>
    <w:rsid w:val="00986C4B"/>
    <w:rsid w:val="009929EC"/>
    <w:rsid w:val="009964FB"/>
    <w:rsid w:val="00997BD4"/>
    <w:rsid w:val="009A45F1"/>
    <w:rsid w:val="009B18F6"/>
    <w:rsid w:val="009B207A"/>
    <w:rsid w:val="009B7C1C"/>
    <w:rsid w:val="009C4E1D"/>
    <w:rsid w:val="009D16D8"/>
    <w:rsid w:val="009F0B8D"/>
    <w:rsid w:val="009F5FC4"/>
    <w:rsid w:val="00A07CA3"/>
    <w:rsid w:val="00A10D83"/>
    <w:rsid w:val="00A11266"/>
    <w:rsid w:val="00A21C80"/>
    <w:rsid w:val="00A2223D"/>
    <w:rsid w:val="00A3586A"/>
    <w:rsid w:val="00A415DF"/>
    <w:rsid w:val="00A41AC2"/>
    <w:rsid w:val="00A42C48"/>
    <w:rsid w:val="00A43588"/>
    <w:rsid w:val="00A4541C"/>
    <w:rsid w:val="00A50BA5"/>
    <w:rsid w:val="00A50CAB"/>
    <w:rsid w:val="00A6057A"/>
    <w:rsid w:val="00A951E6"/>
    <w:rsid w:val="00A97034"/>
    <w:rsid w:val="00AD11F6"/>
    <w:rsid w:val="00AD3BA1"/>
    <w:rsid w:val="00AF101E"/>
    <w:rsid w:val="00B04D45"/>
    <w:rsid w:val="00B12433"/>
    <w:rsid w:val="00B14AF0"/>
    <w:rsid w:val="00B176E8"/>
    <w:rsid w:val="00B205EE"/>
    <w:rsid w:val="00B254DF"/>
    <w:rsid w:val="00B35092"/>
    <w:rsid w:val="00B448CB"/>
    <w:rsid w:val="00B513A9"/>
    <w:rsid w:val="00B52082"/>
    <w:rsid w:val="00B5508E"/>
    <w:rsid w:val="00B57E07"/>
    <w:rsid w:val="00B72A52"/>
    <w:rsid w:val="00B759FF"/>
    <w:rsid w:val="00B772A8"/>
    <w:rsid w:val="00BA3733"/>
    <w:rsid w:val="00BA7FB4"/>
    <w:rsid w:val="00BB1F07"/>
    <w:rsid w:val="00BC3F01"/>
    <w:rsid w:val="00BC7D07"/>
    <w:rsid w:val="00BD1782"/>
    <w:rsid w:val="00BD5DC0"/>
    <w:rsid w:val="00C047EC"/>
    <w:rsid w:val="00C04F0D"/>
    <w:rsid w:val="00C13DF2"/>
    <w:rsid w:val="00C143B0"/>
    <w:rsid w:val="00C26599"/>
    <w:rsid w:val="00C26A5B"/>
    <w:rsid w:val="00C51912"/>
    <w:rsid w:val="00CB0E17"/>
    <w:rsid w:val="00CB34FA"/>
    <w:rsid w:val="00CB569B"/>
    <w:rsid w:val="00CD387E"/>
    <w:rsid w:val="00CF3731"/>
    <w:rsid w:val="00D03009"/>
    <w:rsid w:val="00D0375D"/>
    <w:rsid w:val="00D0397A"/>
    <w:rsid w:val="00D07573"/>
    <w:rsid w:val="00D33A4F"/>
    <w:rsid w:val="00D40631"/>
    <w:rsid w:val="00D40D72"/>
    <w:rsid w:val="00D42FFF"/>
    <w:rsid w:val="00D475D8"/>
    <w:rsid w:val="00D64A0D"/>
    <w:rsid w:val="00D7612A"/>
    <w:rsid w:val="00D7753F"/>
    <w:rsid w:val="00D87347"/>
    <w:rsid w:val="00D87706"/>
    <w:rsid w:val="00D97035"/>
    <w:rsid w:val="00DA41C9"/>
    <w:rsid w:val="00DE271D"/>
    <w:rsid w:val="00DE411A"/>
    <w:rsid w:val="00DE7EB7"/>
    <w:rsid w:val="00DE7F13"/>
    <w:rsid w:val="00DF4E68"/>
    <w:rsid w:val="00E05963"/>
    <w:rsid w:val="00E225AC"/>
    <w:rsid w:val="00E53740"/>
    <w:rsid w:val="00E658A0"/>
    <w:rsid w:val="00E83021"/>
    <w:rsid w:val="00E84F4C"/>
    <w:rsid w:val="00E8641F"/>
    <w:rsid w:val="00E87B8B"/>
    <w:rsid w:val="00EA5E62"/>
    <w:rsid w:val="00EB13CA"/>
    <w:rsid w:val="00EC6075"/>
    <w:rsid w:val="00ED3CE9"/>
    <w:rsid w:val="00F00CE2"/>
    <w:rsid w:val="00F17BC6"/>
    <w:rsid w:val="00F245D3"/>
    <w:rsid w:val="00F257A0"/>
    <w:rsid w:val="00F26D55"/>
    <w:rsid w:val="00F37F74"/>
    <w:rsid w:val="00F5317D"/>
    <w:rsid w:val="00F6509F"/>
    <w:rsid w:val="00F6618B"/>
    <w:rsid w:val="00F66B82"/>
    <w:rsid w:val="00F72F6F"/>
    <w:rsid w:val="00F83144"/>
    <w:rsid w:val="00FC738E"/>
    <w:rsid w:val="00FD1ADB"/>
    <w:rsid w:val="00FD22D7"/>
    <w:rsid w:val="00FF1F9E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50297"/>
  <w15:docId w15:val="{CB99F1EC-100D-4363-9CD1-A2468561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B8D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073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2AD"/>
    <w:rPr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6D72AD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6D72AD"/>
    <w:rPr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6D72AD"/>
    <w:rPr>
      <w:color w:val="666666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7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D72A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6D72AD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2AD"/>
    <w:rPr>
      <w:rFonts w:asciiTheme="minorHAnsi" w:eastAsiaTheme="minorHAnsi" w:hAnsiTheme="minorHAnsi" w:cstheme="minorBid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6D72AD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2AD"/>
    <w:rPr>
      <w:rFonts w:asciiTheme="minorHAnsi" w:eastAsiaTheme="minorHAnsi" w:hAnsiTheme="minorHAnsi" w:cstheme="minorBid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6D72A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72AD"/>
    <w:rPr>
      <w:b/>
      <w:bCs/>
    </w:rPr>
  </w:style>
  <w:style w:type="paragraph" w:customStyle="1" w:styleId="wp-caption-text">
    <w:name w:val="wp-caption-text"/>
    <w:basedOn w:val="Normal"/>
    <w:rsid w:val="006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nfasis">
    <w:name w:val="Emphasis"/>
    <w:basedOn w:val="Fuentedeprrafopredeter"/>
    <w:uiPriority w:val="20"/>
    <w:qFormat/>
    <w:rsid w:val="006D72AD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6D72AD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72AD"/>
    <w:rPr>
      <w:rFonts w:ascii="Cambria" w:eastAsia="Cambria" w:hAnsi="Cambria" w:cs="Cambria"/>
      <w:lang w:val="es-ES" w:eastAsia="en-US"/>
    </w:rPr>
  </w:style>
  <w:style w:type="paragraph" w:customStyle="1" w:styleId="mt-20">
    <w:name w:val="mt-20"/>
    <w:basedOn w:val="Normal"/>
    <w:rsid w:val="006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72AD"/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6D72A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2AD"/>
    <w:rPr>
      <w:rFonts w:asciiTheme="minorHAnsi" w:eastAsiaTheme="minorHAnsi" w:hAnsiTheme="minorHAnsi" w:cstheme="minorBidi"/>
      <w:b/>
      <w:bCs/>
      <w:sz w:val="20"/>
      <w:szCs w:val="20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2A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A2953"/>
    <w:pPr>
      <w:spacing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0567B"/>
    <w:pPr>
      <w:spacing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0567B"/>
    <w:pPr>
      <w:spacing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2FB7"/>
    <w:pPr>
      <w:spacing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65447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544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47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45F1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6B160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paragraph" w:styleId="TDC1">
    <w:name w:val="toc 1"/>
    <w:basedOn w:val="Normal"/>
    <w:next w:val="Normal"/>
    <w:autoRedefine/>
    <w:uiPriority w:val="39"/>
    <w:unhideWhenUsed/>
    <w:rsid w:val="006870CD"/>
    <w:pPr>
      <w:tabs>
        <w:tab w:val="left" w:pos="1134"/>
        <w:tab w:val="right" w:leader="dot" w:pos="10490"/>
      </w:tabs>
      <w:spacing w:after="100"/>
      <w:ind w:left="851" w:right="709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6B160C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F83144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7A2909"/>
    <w:rPr>
      <w:color w:val="800080" w:themeColor="followed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407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45D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45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45DA"/>
    <w:rPr>
      <w:vertAlign w:val="superscript"/>
    </w:rPr>
  </w:style>
  <w:style w:type="paragraph" w:customStyle="1" w:styleId="font14rem">
    <w:name w:val="font1_4rem"/>
    <w:basedOn w:val="Normal"/>
    <w:rsid w:val="0056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table" w:styleId="Tablaconcuadrcula5oscura-nfasis1">
    <w:name w:val="Grid Table 5 Dark Accent 1"/>
    <w:basedOn w:val="Tablanormal"/>
    <w:uiPriority w:val="50"/>
    <w:rsid w:val="00281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3B625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78E2-CA56-43C9-88E7-98E60175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2012</Words>
  <Characters>11069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Saura</dc:creator>
  <cp:lastModifiedBy>Julio Bertolotti</cp:lastModifiedBy>
  <cp:revision>2</cp:revision>
  <cp:lastPrinted>2022-02-13T15:17:00Z</cp:lastPrinted>
  <dcterms:created xsi:type="dcterms:W3CDTF">2022-07-18T15:05:00Z</dcterms:created>
  <dcterms:modified xsi:type="dcterms:W3CDTF">2022-07-18T15:05:00Z</dcterms:modified>
</cp:coreProperties>
</file>